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lang w:eastAsia="zh-CN"/>
        </w:rPr>
        <w:t>防城港</w:t>
      </w:r>
      <w:r>
        <w:rPr>
          <w:rFonts w:hint="eastAsia" w:ascii="方正小标宋简体" w:hAnsi="方正小标宋简体" w:eastAsia="方正小标宋简体" w:cs="方正小标宋简体"/>
          <w:b w:val="0"/>
          <w:bCs w:val="0"/>
          <w:color w:val="auto"/>
          <w:sz w:val="44"/>
          <w:szCs w:val="44"/>
        </w:rPr>
        <w:t>市不动产登记中心服务指南</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color w:val="auto"/>
          <w:sz w:val="36"/>
          <w:szCs w:val="36"/>
        </w:rPr>
      </w:pPr>
      <w:r>
        <w:rPr>
          <w:rFonts w:hint="eastAsia" w:ascii="方正小标宋简体" w:hAnsi="方正小标宋简体" w:eastAsia="方正小标宋简体" w:cs="方正小标宋简体"/>
          <w:b w:val="0"/>
          <w:bCs w:val="0"/>
          <w:color w:val="auto"/>
          <w:sz w:val="36"/>
          <w:szCs w:val="36"/>
        </w:rPr>
        <w:t>抵押权首次登记(国有建设用地使用权、国有建设用地使用权及房屋所有权)</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color w:val="auto"/>
          <w:sz w:val="36"/>
          <w:szCs w:val="36"/>
        </w:rPr>
      </w:pP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一、适用范围</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（一）在自然人、法人、非法人组织之间进行借贷、买卖等民事活动中，为保障债权人的债权实现，依法设立不动产抵押权的，当事人可申请不动产抵押权首次登记。</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（二）以建设用地使用权、海域使用权抵押的，</w:t>
      </w:r>
      <w:bookmarkStart w:id="0" w:name="_GoBack"/>
      <w:bookmarkEnd w:id="0"/>
      <w:r>
        <w:rPr>
          <w:rFonts w:hint="eastAsia" w:ascii="仿宋_GB2312" w:hAnsi="仿宋_GB2312" w:eastAsia="仿宋_GB2312" w:cs="仿宋_GB2312"/>
          <w:color w:val="auto"/>
          <w:sz w:val="32"/>
          <w:szCs w:val="32"/>
          <w:lang w:eastAsia="zh-CN"/>
        </w:rPr>
        <w:t>该土地、海域上的建筑物、构筑物一并抵押；以建筑物、构筑物抵押的，该建筑物、构筑物占用范围内的建设用地使用权、海域使用权一并抵押。建设用地上已经建造建筑物、构筑物但未办理房地一体首次登记的，当事人可以已办理首次登记的建设用地使用权进行抵押，但已经办理预购商品房预告登记的除外；实现抵押权时，地上建筑物、构筑物与建设用地使用权应一并处分。</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三）不动产抵押权首次登记适用情形包括：a)为担保债务的履行，债务人或者第三人不转移不动产的占有，将该不动产抵押给债权人的，当事人可申请一般抵押权首次登记；b)为担保债务的履行，债务人或者第三人对一定期间内将要连续发生的债权提供不动产担保的，当事人可申请最高额抵押权首次登记；c)以正在建造的建筑物设定抵押的，当事人可申请在建建筑物抵押权首次登记。</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黑体" w:cs="仿宋_GB2312"/>
          <w:b w:val="0"/>
          <w:bCs/>
          <w:color w:val="auto"/>
          <w:kern w:val="0"/>
          <w:sz w:val="32"/>
          <w:szCs w:val="32"/>
          <w:lang w:eastAsia="zh-CN"/>
        </w:rPr>
      </w:pPr>
      <w:r>
        <w:rPr>
          <w:rFonts w:hint="eastAsia" w:ascii="黑体" w:hAnsi="黑体" w:eastAsia="黑体" w:cs="黑体"/>
          <w:b w:val="0"/>
          <w:bCs/>
          <w:color w:val="auto"/>
          <w:kern w:val="0"/>
          <w:sz w:val="32"/>
          <w:szCs w:val="32"/>
          <w:lang w:val="en-US" w:eastAsia="zh-CN"/>
        </w:rPr>
        <w:t>二、</w:t>
      </w:r>
      <w:r>
        <w:rPr>
          <w:rFonts w:hint="eastAsia" w:ascii="黑体" w:hAnsi="黑体" w:eastAsia="黑体" w:cs="黑体"/>
          <w:b w:val="0"/>
          <w:bCs/>
          <w:color w:val="auto"/>
          <w:kern w:val="0"/>
          <w:sz w:val="32"/>
          <w:szCs w:val="32"/>
        </w:rPr>
        <w:t>申请主体</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抵押权首次登记应由抵押人和抵押权人共同申请。</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办理依据</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《中华人民共和国民法典》、</w:t>
      </w:r>
      <w:r>
        <w:rPr>
          <w:rFonts w:hint="eastAsia" w:ascii="仿宋_GB2312" w:hAnsi="仿宋_GB2312" w:eastAsia="仿宋_GB2312" w:cs="仿宋_GB2312"/>
          <w:color w:val="auto"/>
          <w:sz w:val="32"/>
          <w:szCs w:val="32"/>
        </w:rPr>
        <w:t>《不动产登记暂行条例》</w:t>
      </w:r>
    </w:p>
    <w:p>
      <w:pPr>
        <w:keepNext w:val="0"/>
        <w:keepLines w:val="0"/>
        <w:pageBreakBefore w:val="0"/>
        <w:widowControl w:val="0"/>
        <w:numPr>
          <w:ilvl w:val="0"/>
          <w:numId w:val="1"/>
        </w:numPr>
        <w:kinsoku/>
        <w:wordWrap/>
        <w:overflowPunct/>
        <w:topLinePunct w:val="0"/>
        <w:autoSpaceDE/>
        <w:autoSpaceDN/>
        <w:bidi w:val="0"/>
        <w:spacing w:line="560" w:lineRule="exact"/>
        <w:ind w:left="0" w:leftChars="0" w:firstLine="640" w:firstLineChars="200"/>
        <w:jc w:val="left"/>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数量限制</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不限</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color w:val="auto"/>
          <w:sz w:val="32"/>
          <w:szCs w:val="32"/>
          <w:lang w:eastAsia="zh-CN"/>
        </w:rPr>
      </w:pPr>
      <w:r>
        <w:rPr>
          <w:rFonts w:hint="eastAsia" w:ascii="黑体" w:hAnsi="黑体" w:eastAsia="黑体" w:cs="黑体"/>
          <w:b w:val="0"/>
          <w:bCs/>
          <w:color w:val="auto"/>
          <w:kern w:val="0"/>
          <w:sz w:val="32"/>
          <w:szCs w:val="32"/>
          <w:lang w:val="en-US" w:eastAsia="zh-CN"/>
        </w:rPr>
        <w:t>五</w:t>
      </w:r>
      <w:r>
        <w:rPr>
          <w:rFonts w:hint="eastAsia" w:ascii="黑体" w:hAnsi="黑体" w:eastAsia="黑体" w:cs="黑体"/>
          <w:b w:val="0"/>
          <w:bCs/>
          <w:color w:val="auto"/>
          <w:kern w:val="0"/>
          <w:sz w:val="32"/>
          <w:szCs w:val="32"/>
        </w:rPr>
        <w:t>、提交材料</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（一）不动产登记申请表。（不动产登记机构提供）</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（二）申请人身份证明。</w:t>
      </w:r>
      <w:r>
        <w:rPr>
          <w:rFonts w:hint="eastAsia" w:ascii="仿宋_GB2312" w:hAnsi="仿宋_GB2312" w:eastAsia="仿宋_GB2312" w:cs="仿宋_GB2312"/>
          <w:color w:val="auto"/>
          <w:sz w:val="32"/>
          <w:szCs w:val="32"/>
          <w:lang w:eastAsia="zh-CN"/>
        </w:rPr>
        <w:t>(现场核验)</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（三）不动产权属证书（抵押预告登记转抵押权首次登记的，提交不动产登记证明）。（原件，不动产电子证照的无需提供）</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合同。1）主债权合同。最高额抵押的，提交一定期间内将要连续发生债权的合同或者其他登记原因材料等必要材料；2）抵押合同。主债权合同中包含抵押条款的，可不提交单独的抵押合同书。最高额抵押的，提交最高额抵押合同；3）同意将最高额抵押权设立前已经存在的债权转入最高额抵押担保的债权范围的，提交已存在债权的合同以及当事人同意将该债权纳入最高额抵押权担保范围的书面材料；4）主债权合同和抵押合同可由双方确认的体现出债权债务关系以及抵押条款的申请材料代替。</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（五）在建建筑物抵押的，提交建设工程规划许可证等规划许可文件。</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（六）通过流转取得的土地经营权抵押的，提交承包方同意的书面材料。</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（七）通过流转取得的耕地、水域、滩涂上的土地经营权抵押的，还应提交发包方备案材料。</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六、办理流程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mc:AlternateContent>
          <mc:Choice Requires="wpc">
            <w:drawing>
              <wp:anchor distT="0" distB="0" distL="114300" distR="114300" simplePos="0" relativeHeight="251659264" behindDoc="1" locked="0" layoutInCell="1" allowOverlap="1">
                <wp:simplePos x="0" y="0"/>
                <wp:positionH relativeFrom="column">
                  <wp:posOffset>356870</wp:posOffset>
                </wp:positionH>
                <wp:positionV relativeFrom="paragraph">
                  <wp:posOffset>121285</wp:posOffset>
                </wp:positionV>
                <wp:extent cx="5274310" cy="1978025"/>
                <wp:effectExtent l="0" t="0" r="0" b="0"/>
                <wp:wrapTight wrapText="bothSides">
                  <wp:wrapPolygon>
                    <wp:start x="7724" y="2288"/>
                    <wp:lineTo x="7724" y="6241"/>
                    <wp:lineTo x="9362" y="8945"/>
                    <wp:lineTo x="2497" y="9153"/>
                    <wp:lineTo x="2184" y="9361"/>
                    <wp:lineTo x="2184" y="14146"/>
                    <wp:lineTo x="4759" y="15602"/>
                    <wp:lineTo x="7802" y="15602"/>
                    <wp:lineTo x="7802" y="19554"/>
                    <wp:lineTo x="12639" y="19554"/>
                    <wp:lineTo x="12639" y="15602"/>
                    <wp:lineTo x="17320" y="15602"/>
                    <wp:lineTo x="19036" y="14770"/>
                    <wp:lineTo x="19114" y="8529"/>
                    <wp:lineTo x="12405" y="5617"/>
                    <wp:lineTo x="12405" y="2288"/>
                    <wp:lineTo x="7724" y="2288"/>
                  </wp:wrapPolygon>
                </wp:wrapTight>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noFill/>
                          <a:prstDash val="solid"/>
                          <a:miter/>
                          <a:headEnd type="none" w="med" len="med"/>
                          <a:tailEnd type="none" w="med" len="med"/>
                        </a:ln>
                      </wpc:whole>
                      <wps:wsp>
                        <wps:cNvPr id="29" name="矩形 1"/>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30" name="直接连接符 2"/>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32" name="矩形 4"/>
                        <wps:cNvSpPr/>
                        <wps:spPr>
                          <a:xfrm>
                            <a:off x="1932940" y="2273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33" name="直接连接符 5"/>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34" name="矩形 6"/>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2" name="矩形 3"/>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eastAsia"/>
                                  <w:sz w:val="18"/>
                                  <w:szCs w:val="18"/>
                                  <w:lang w:eastAsia="zh-CN"/>
                                </w:rPr>
                              </w:pPr>
                              <w:r>
                                <w:rPr>
                                  <w:rFonts w:hint="eastAsia"/>
                                  <w:sz w:val="18"/>
                                  <w:szCs w:val="18"/>
                                  <w:lang w:eastAsia="zh-CN"/>
                                </w:rPr>
                                <w:t>缴费、领证</w:t>
                              </w:r>
                            </w:p>
                            <w:p>
                              <w:pPr>
                                <w:rPr>
                                  <w:rFonts w:hint="eastAsia"/>
                                  <w:lang w:val="en-US" w:eastAsia="zh-CN"/>
                                </w:rPr>
                              </w:pPr>
                            </w:p>
                          </w:txbxContent>
                        </wps:txbx>
                        <wps:bodyPr upright="1"/>
                      </wps:wsp>
                    </wpc:wpc>
                  </a:graphicData>
                </a:graphic>
              </wp:anchor>
            </w:drawing>
          </mc:Choice>
          <mc:Fallback>
            <w:pict>
              <v:group id="_x0000_s1026" o:spid="_x0000_s1026" o:spt="203" style="position:absolute;left:0pt;margin-left:28.1pt;margin-top:9.55pt;height:155.75pt;width:415.3pt;mso-wrap-distance-left:9pt;mso-wrap-distance-right:9pt;z-index:-251657216;mso-width-relative:page;mso-height-relative:page;" coordsize="5274310,1978025" wrapcoords="7724 2288 7724 6241 9362 8945 2497 9153 2184 9361 2184 14146 4759 15602 7802 15602 7802 19554 12639 19554 12639 15602 17320 15602 19036 14770 19114 8529 12405 5617 12405 2288 7724 2288" editas="canvas" o:gfxdata="UEsDBAoAAAAAAIdO4kAAAAAAAAAAAAAAAAAEAAAAZHJzL1BLAwQUAAAACACHTuJA0YZ1RNoAAAAJ&#10;AQAADwAAAGRycy9kb3ducmV2LnhtbE2PQUvDQBCF74L/YRnBi9hNWgxpmk0PBbGIUJpqz9vsmASz&#10;s2l2m9R/73jS47z3ePO9fH21nRhx8K0jBfEsAoFUOdNSreD98PyYgvBBk9GdI1TwjR7Wxe1NrjPj&#10;JtrjWIZacAn5TCtoQugzKX3VoNV+5nok9j7dYHXgc6ilGfTE5baT8yhKpNUt8YdG97hpsPoqL1bB&#10;VO3G4+HtRe4ejltH5+15U368KnV/F0crEAGv4S8Mv/iMDgUzndyFjBedgqdkzknWlzEI9tM04Skn&#10;BYtFlIAscvl/QfEDUEsDBBQAAAAIAIdO4kDsq7igvAMAAHkPAAAOAAAAZHJzL2Uyb0RvYy54bWzt&#10;V01v3DYQvQfIfyB0jyVR34LXOcSxL0USIE3vtER9ABRJkLR3fe49p9wCJECBBgjQYw4FiqK/Jk1/&#10;RoeUVtmss1inQQ0fvActJQ7JmffeDMnDh6uBoQuqdC/4wgsPAg9RXom65+3Ce/HjyYPcQ9oQXhMm&#10;OF14l1R7D4/u3ztcypJi0QlWU4VgEq7LpVx4nTGy9H1ddXQg+kBIyqGzEWogBl5V69eKLGH2gfk4&#10;CFJ/KVQtlaio1vD1eOz0phnVdSYUTdNX9FhU5wPlZpxVUUYMhKS7XmrvyHnbNLQyT5tGU4PYwoNI&#10;jXvCItA+s0//6JCUrSKy66vJBXIdF7ZiGkjPYdF5qmNiCDpX/ZWphr5SQovGHFRi8MdAHCIQRRhs&#10;YXOqxLl0sbTlspUz6EDUFur/edrqycUzhfp64WUe4mQAwj+9+uPj7z+jzGKzlG0JJqdKPpfP1PSh&#10;Hd9suKtGDfYfAkErh+rljCpdGVTBxwRncRQC4BX0hUWWBzgZca86IOfKuKp7vGekv17Yt/7N7iwl&#10;KFJ/hkl/H0zPOyKpQ19bDCaYcDHj9Pb9xz9/QeGIk7OZQdKlBry+ghDOkywJAAzAIsviIJ2gWIMV&#10;ZmkYFxNYSV4UoTOYIyalVNqcUjEg21h4CiTulEcuftAGGALTtYldXwvW1yc9Y+5FtWePmEIXBNLh&#10;xP2s9zDkCzPGrTEXdtjYPX6hLqGmZSzaY5C2ZVZnKycPXZ6J+hLAOpeqbzvw0AEETDlyrKRugKUI&#10;EJzU/PrD3y9//eevN/D89Ns7hDfoesQnTa8jWetqFjSOwyiY6ErzIMi36MpSPHGVBQUu9nDFem4F&#10;RcodXDGOlguvSCA/UEWgtjZQ06A5SMhPzVs39gum9Cah4Kj19SuEWkEcE92NxLsZrBkpO0rqx7xG&#10;5lJC5nMo+J51YaC1hxiF/cG2nKUhPftsaVRPeMt2WIOe9grmVqgEzyoZczneEMf+XA6LCBfxmMsY&#10;ZxGIzkE153KQWs2MhS9KgyDeo4//J5dvWlNDb6j6LnXt1uF1lHXbSlE0i2yrFDk12HIIu8uOUoQa&#10;1sufbA212TrtsjgNoCxBjYA9BBSWJltFKbV9drPNcFjc1aSxgl1HObeiJsWzXMaalH5TTUqyOM1G&#10;aeRJgK8cL5I4SmETc/KI49geRSBVAZz1SW59drg7XrjryY5D4BZH0TdxFBZxnsO5zuZvGGM48m0l&#10;cBiGUQhZ7ViKojweM/ymWbrbOHadYd29A25kLnOm26O98m2+Q3vzxnz0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8GAABbQ29udGVudF9UeXBl&#10;c10ueG1sUEsBAhQACgAAAAAAh07iQAAAAAAAAAAAAAAAAAYAAAAAAAAAAAAQAAAAEQUAAF9yZWxz&#10;L1BLAQIUABQAAAAIAIdO4kCKFGY80QAAAJQBAAALAAAAAAAAAAEAIAAAADUFAABfcmVscy8ucmVs&#10;c1BLAQIUAAoAAAAAAIdO4kAAAAAAAAAAAAAAAAAEAAAAAAAAAAAAEAAAAAAAAABkcnMvUEsBAhQA&#10;FAAAAAgAh07iQNGGdUTaAAAACQEAAA8AAAAAAAAAAQAgAAAAIgAAAGRycy9kb3ducmV2LnhtbFBL&#10;AQIUABQAAAAIAIdO4kDsq7igvAMAAHkPAAAOAAAAAAAAAAEAIAAAACkBAABkcnMvZTJvRG9jLnht&#10;bFBLBQYAAAAABgAGAFkBAABXBwAAAAA=&#10;">
                <o:lock v:ext="edit" aspectratio="f"/>
                <v:shape id="_x0000_s1026" o:spid="_x0000_s1026" style="position:absolute;left:0;top:0;height:1978025;width:5274310;" filled="f" stroked="f" coordsize="21600,21600" o:gfxdata="UEsDBAoAAAAAAIdO4kAAAAAAAAAAAAAAAAAEAAAAZHJzL1BLAwQUAAAACACHTuJA0YZ1RNoAAAAJ&#10;AQAADwAAAGRycy9kb3ducmV2LnhtbE2PQUvDQBCF74L/YRnBi9hNWgxpmk0PBbGIUJpqz9vsmASz&#10;s2l2m9R/73jS47z3ePO9fH21nRhx8K0jBfEsAoFUOdNSreD98PyYgvBBk9GdI1TwjR7Wxe1NrjPj&#10;JtrjWIZacAn5TCtoQugzKX3VoNV+5nok9j7dYHXgc6ilGfTE5baT8yhKpNUt8YdG97hpsPoqL1bB&#10;VO3G4+HtRe4ejltH5+15U368KnV/F0crEAGv4S8Mv/iMDgUzndyFjBedgqdkzknWlzEI9tM04Skn&#10;BYtFlIAscvl/QfEDUEsDBBQAAAAIAIdO4kD7KwDXhgMAAIwPAAAOAAAAZHJzL2Uyb0RvYy54bWzt&#10;V8mOEzEQvSPxD5bvTO9bND0cZhguCJBY7k63O22p227ZniTzE/wAEkhIICFx5Ir4GpbPoGx3QgiE&#10;CatAmhw67tgpV733qlw+vL7sOzSnUjHBSxwc+BhRXoma8VmJH9w/vZZjpDThNekEpyU+pwpfP7p6&#10;5XAxTGgoWtHVVCIwwtVkMZS41XqYeJ6qWtoTdSAGymGyEbInGl7lzKslWYD1vvNC30+9hZD1IEVF&#10;lYJfT9wkHi3KfQyKpmEVPRHVWU+5dlYl7YiGkFTLBoWPrLdNQyt9p2kU1agrMUSq7RM2gfHUPL2j&#10;QzKZSTK0rBpdIPu4sBVTTxiHTdemTogm6Eyyr0z1rJJCiUYfVKL3XCAWEYgi8LewOSZ8TlwwFWC9&#10;chBGv9HudGb85uKUdR2g4YH1ifnNfC+AbWqmO44WJS6SMMGoIsB6A2jDsB/qEis+s7GvbZDJIJU+&#10;IapFcwLAK9Gx2kHdM02lBb2lpL7Ba6TPB1AZB61hs0dPa4w6CtI0I7tSE9bts9Izfo4RjJ4vBhCp&#10;GtZyVb8G3L2WDNSKS02q2/O7EjGIPyww4qSHKD48ffnuzTMUGL/N1rDm3nDXxGveFAwNmMtG9uYb&#10;2EdL+HueZIkPgjwvcZbFfpq4sOlSowrmgywN4gLmK1iQ5EUR2AUQ7cqQQfsmFT0ygxJLUL0lhMxv&#10;KQ2bw9LVErOvpcPQbV/kbHrcSUfUqf2Y7eEvXywzwG6qxEFNJtTm2LjN5yDNSC+nyzHyqajPAayz&#10;QbJZCx5agEBplhwHzh9nKQIER5Yev37/6PnHt0/g+eHVCxRu0HXML6QrDiJ/pCvNfT/foitLw5Gr&#10;zC/C4gKuOga6N9Du4GqvxPuCKbVJKDhqfP0GoTsz9GfzUktG+KzbkcVjbn5XMP+ESsK1Slwuxxvi&#10;uDiXgyIKi9jlchhmEYgOsIeoV7nsp0YzLpej1PfjC/TxZ3J5j2L+WzX1F6r+d5X1r5WiaC2yrVJk&#10;1WDqIpwcO0oRajo2PDQ11AhrdYakPpQlOJzhiACFpclWUUrNnDk/sjAoLmuS6yz+m5oUr+XialL6&#10;QzUpyeI0c9LIEz/8qr1I4iiFQ8zKI45j04q48+Kyvai/1ZXvaAK3OIp+iKOgiPMc+jqTv0EcQsu3&#10;lcBBEEQBZLVlKYry2GU4SPivsnR5cOzqYe29Ce5MtnUeL5TmFrj5DuPNS/TRJ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kFAABbQ29udGVudF9U&#10;eXBlc10ueG1sUEsBAhQACgAAAAAAh07iQAAAAAAAAAAAAAAAAAYAAAAAAAAAAAAQAAAA2wQAAF9y&#10;ZWxzL1BLAQIUABQAAAAIAIdO4kCKFGY80QAAAJQBAAALAAAAAAAAAAEAIAAAAP8EAABfcmVscy8u&#10;cmVsc1BLAQIUAAoAAAAAAIdO4kAAAAAAAAAAAAAAAAAEAAAAAAAAAAAAEAAAAAAAAABkcnMvUEsB&#10;AhQAFAAAAAgAh07iQNGGdUTaAAAACQEAAA8AAAAAAAAAAQAgAAAAIgAAAGRycy9kb3ducmV2Lnht&#10;bFBLAQIUABQAAAAIAIdO4kD7KwDXhgMAAIwPAAAOAAAAAAAAAAEAIAAAACkBAABkcnMvZTJvRG9j&#10;LnhtbFBLBQYAAAAABgAGAFkBAAAhBwAAAAA=&#10;">
                  <v:fill on="f" focussize="0,0"/>
                  <v:stroke on="f" joinstyle="miter"/>
                  <v:imagedata o:title=""/>
                  <o:lock v:ext="edit" aspectratio="t"/>
                </v:shape>
                <v:rect id="矩形 1" o:spid="_x0000_s1026" o:spt="1" style="position:absolute;left:2857500;top:774065;height:589915;width:1761490;" fillcolor="#FFFFFF" filled="t" stroked="f" coordsize="21600,21600" o:gfxdata="UEsDBAoAAAAAAIdO4kAAAAAAAAAAAAAAAAAEAAAAZHJzL1BLAwQUAAAACACHTuJADJC8HtcAAAAJ&#10;AQAADwAAAGRycy9kb3ducmV2LnhtbE2PwU7DMBBE70j8g7VI3KidhlppiNMDUk/AgbYS1228TSJi&#10;O8ROW/6e5QTHnRnNvqk2VzeIM02xD95AtlAgyDfB9r41cNhvHwoQMaG3OARPBr4pwqa+vamwtOHi&#10;3+m8S63gEh9LNNClNJZSxqYjh3ERRvLsncLkMPE5tdJOeOFyN8ilUlo67D1/6HCk546az93sDKB+&#10;tF9vp/x1/zJrXLdXtV19KGPu7zL1BCLRNf2F4Ref0aFmpmOYvY1iMLDSS06yvs5AsF8UmqccDeS5&#10;0iDrSv5fUP8AUEsDBBQAAAAIAIdO4kACfz7NyQEAAIQDAAAOAAAAZHJzL2Uyb0RvYy54bWytU0tu&#10;2zAQ3RfIHQjua0lG/BMsZ1HD2RRpgLQHoClKIsAfhrQln6ZAdj1Ej1P0Gh1SapommyyiBTWjeXzD&#10;94ba3gxakbMAL62paDHLKRGG21qatqLfvh4+rinxgZmaKWtERS/C05vd1Ydt70oxt51VtQCCJMaX&#10;vatoF4Irs8zzTmjmZ9YJg8XGgmYBU2izGliP7Fpl8zxfZr2F2oHlwnv8uh+LdGKEtxDappFc7C0/&#10;aWHCyApCsYCSfCedp7t02qYRPHxpGi8CURVFpSGt2ATjY1yz3ZaVLTDXST4dgb3lCC80aSYNNn2i&#10;2rPAyAnkKyotOVhvmzDjVmejkOQIqijyF948dMyJpAWt9u7JdP9+tPzufA9E1hWdbygxTOPEf3//&#10;8evnIymiOb3zJWIe3D1MmccwKh0a0PGNGsiA29eL1SJHWy8VXa2u8+Vi9FYMgXCsF6tlcb3BOkfA&#10;Yr3ZFAmQ/SNy4MOtsJrEoKKAs0uWsvNnH7A5Qv9CYl9vlawPUqmUQHv8pICcGc75kJ7YHrf8B1Mm&#10;go2N28by+EWkmzK1iZJHkTEKw3GYlB9tfUGzTg5k2+EJk0FZBOFwUrPpIsXpP88xfv7z7P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DJC8HtcAAAAJAQAADwAAAAAAAAABACAAAAAiAAAAZHJzL2Rv&#10;d25yZXYueG1sUEsBAhQAFAAAAAgAh07iQAJ/Ps3JAQAAhAMAAA4AAAAAAAAAAQAgAAAAJgEAAGRy&#10;cy9lMm9Eb2MueG1sUEsFBgAAAAAGAAYAWQEAAGEFA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直接连接符 2" o:spid="_x0000_s1026" o:spt="20" style="position:absolute;left:2413000;top:680085;height:709295;width:7620;" filled="f" stroked="t" coordsize="21600,21600" o:gfxdata="UEsDBAoAAAAAAIdO4kAAAAAAAAAAAAAAAAAEAAAAZHJzL1BLAwQUAAAACACHTuJAxXlQRtoAAAAJ&#10;AQAADwAAAGRycy9kb3ducmV2LnhtbE2PwU7DMBBE70j8g7VI3KidVkQmxOkBqVxaQG1RVW5uvCQR&#10;sR3ZThv+nuUEx50Zzb4pl5Pt2RlD7LxTkM0EMHS1N51rFLzvV3cSWEzaGd17hwq+McKyur4qdWH8&#10;xW3xvEsNoxIXC62gTWkoOI91i1bHmR/Qkffpg9WJztBwE/SFym3P50Lk3OrO0YdWD/jUYv21G62C&#10;7Wa1lof1ONXh4zl73b9tXo5RKnV7k4lHYAmn9BeGX3xCh4qYTn50JrJewX0+pyTpDxkw8qXMacpJ&#10;wWIhcuBVyf8vqH4AUEsDBBQAAAAIAIdO4kBi1FqxEQIAAAQEAAAOAAAAZHJzL2Uyb0RvYy54bWyt&#10;U82O0zAQviPxDpbvNGmWdtuo6R62LBcEKwEPMLWdxJL/ZLtN+xK8ABI3OHHkztuwPAZjp+wui5D2&#10;QA7OON/4m/m+jFcXB63IXvggrWnodFJSIgyzXJquoe/fXT1bUBIiGA7KGtHQowj0Yv30yWpwtahs&#10;bxUXniCJCfXgGtrH6OqiCKwXGsLEOmEQbK3XEHHru4J7GJBdq6Iqy3kxWM+dt0yEgF83I0hPjP4x&#10;hLZtJRMby3ZamDiyeqEgoqTQSxfoOnfbtoLFN20bRCSqoag05hWLYLxNa7FeQd15cL1kpxbgMS08&#10;0KRBGix6S7WBCGTn5V9UWjJvg23jhFldjEKyI6hiWj7w5m0PTmQtaHVwt6aH/0fLXu+vPZG8oWdo&#10;iQGNf/zm47cfHz7//P4J15uvX0iVXBpcqDH50lz70y64a58kH1qv0xvFkENDq+fTs7JEsmND54uy&#10;XMxGk8UhEob4+bxCkCF6Xi6rZUaLOxbnQ3wprCYpaKiSJjkANexfhYiVMfV3SvqsDBkaupxVM+QE&#10;HMcWxwBD7VBSMF0+G6yS/EoqlU4E320vlSd7SCORn9Qg8v6RlopsIPRjXoZGHb0A/sJwEo8OvTJ4&#10;R2hqQQtOiRJ4pVKEhFBHkOouM3oJplP/yMbyyqRDIg/tSWsyfbQ5RVvLj/izds7LrkdvprnvhOBw&#10;ZAWnQU7Td3+P8f3Lu/4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xXlQRtoAAAAJAQAADwAAAAAA&#10;AAABACAAAAAiAAAAZHJzL2Rvd25yZXYueG1sUEsBAhQAFAAAAAgAh07iQGLUWrERAgAABAQAAA4A&#10;AAAAAAAAAQAgAAAAKQEAAGRycy9lMm9Eb2MueG1sUEsFBgAAAAAGAAYAWQEAAKwFAAAAAA==&#10;">
                  <v:fill on="f" focussize="0,0"/>
                  <v:stroke color="#000000" joinstyle="round" endarrow="block"/>
                  <v:imagedata o:title=""/>
                  <o:lock v:ext="edit" aspectratio="f"/>
                </v:line>
                <v:rect id="矩形 4" o:spid="_x0000_s1026" o:spt="1" style="position:absolute;left:1932940;top:227330;height:360045;width:1066800;" fillcolor="#FFFFFF" filled="t" stroked="t" coordsize="21600,21600" o:gfxdata="UEsDBAoAAAAAAIdO4kAAAAAAAAAAAAAAAAAEAAAAZHJzL1BLAwQUAAAACACHTuJARY+lC9cAAAAJ&#10;AQAADwAAAGRycy9kb3ducmV2LnhtbE2PQU+DQBCF7yb+h82YeLO7QCQUWXrQ1MRjSy+9DbACys4S&#10;dmnRX+940uO89/Lme8VutaO4mNkPjjREGwXCUOPagToNp2r/kIHwAanF0ZHR8GU87MrbmwLz1l3p&#10;YC7H0AkuIZ+jhj6EKZfSN72x6DduMsTeu5stBj7nTrYzXrncjjJWKpUWB+IPPU7muTfN53GxGuoh&#10;PuH3oXpVdrtPwttafSznF63v7yL1BCKYNfyF4Ref0aFkptot1HoxanhMY06yvo1AsJ9lKU+pNSSJ&#10;SkGWhfy/oPwBUEsDBBQAAAAIAIdO4kAWCJ3SEQIAAEMEAAAOAAAAZHJzL2Uyb0RvYy54bWytU82O&#10;0zAQviPxDpbvNGn6wzZqugdKuSBYaeEBXGeSWPKfbLdJnwaJGw/B4yBeg7ETlt2FQw/kkH7uTL6Z&#10;75vx9nZQkpzBeWF0ReeznBLQ3NRCtxX9/Onw6oYSH5iumTQaKnoBT293L19se1tCYToja3AESbQv&#10;e1vRLgRbZpnnHSjmZ8aCxmBjnGIBj67Nasd6ZFcyK/J8nfXG1dYZDt7jv/sxSCdGdw2haRrBYW/4&#10;SYEOI6sDyQJK8p2wnu5St00DPHxsGg+ByIqi0pDeWATxMb6z3ZaVrWO2E3xqgV3TwjNNigmNRR+o&#10;9iwwcnLiLyoluDPeNGHGjcpGIckRVDHPn3lz3zELSQta7e2D6f7/0fIP5ztHRF3RRUGJZgon/vPL&#10;tx/fv5JlNKe3vsSce3vnppNHGJUOjVPxFzWQARdpsyg2S7T1UtGieL1YTN7CEAiP8Xy9vskxzjFh&#10;sc7z5SryZ3+IrPPhHRhFIqiow9klS9n5vQ9j6u+UWNcbKeqDkDIdXHt8Ix05M5zzIT0T+5M0qUlf&#10;0c2qWGEfDJe3waVBqCwa4HWb6j35wj8mztPzL+LY2J75bmwgMcQ0VioRwCXUAavf6pqEi0WPNd4t&#10;GptRUFMiAa9iRCkzMCGvyUTvpI5FIC365FKc2DijiMJwHJA0wqOpLzjrk3Wi7dDgeRISI7hbaRLT&#10;PYjL+/iM+PHd3/0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RY+lC9cAAAAJAQAADwAAAAAAAAAB&#10;ACAAAAAiAAAAZHJzL2Rvd25yZXYueG1sUEsBAhQAFAAAAAgAh07iQBYIndIRAgAAQwQAAA4AAAAA&#10;AAAAAQAgAAAAJgEAAGRycy9lMm9Eb2MueG1sUEsFBgAAAAAGAAYAWQEAAKkF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直接连接符 5" o:spid="_x0000_s1026" o:spt="20" style="position:absolute;left:2604135;top:668655;flip:y;height:721995;width:635;" filled="f" stroked="t" coordsize="21600,21600" o:gfxdata="UEsDBAoAAAAAAIdO4kAAAAAAAAAAAAAAAAAEAAAAZHJzL1BLAwQUAAAACACHTuJApVs5TdkAAAAJ&#10;AQAADwAAAGRycy9kb3ducmV2LnhtbE2PwU7DMBBE70j8g7VI3KidlkZpiNMDAokTghYhcXPjJQmN&#10;18F2m8LXs5zguDOj2TfV+uQGccQQe08aspkCgdR421Or4WV7f1WAiMmQNYMn1PCFEdb1+VllSusn&#10;esbjJrWCSyiWRkOX0lhKGZsOnYkzPyKx9+6DM4nP0EobzMTlbpBzpXLpTE/8oTMj3nbY7DcHp2G1&#10;nZb+Kexfr7P+8+377iOND49J68uLTN2ASHhKf2H4xWd0qJlp5w9koxg0LPM5J1lfZSDYL4qcp+w0&#10;LBYqB1lX8v+C+gdQSwMEFAAAAAgAh07iQEWx63AYAgAADQQAAA4AAABkcnMvZTJvRG9jLnhtbK1T&#10;S44TMRDdI3EHy3vS+ZBm0kpnFhOGDYJIfPYVt91tyT/ZTjq5BBdAYgcrlrPnNswcY8ruMAyDkGZB&#10;L6yyq/yq3uvn5flBK7LnPkhrajoZjSnhhtlGmramH95fPjujJEQwDShreE2PPNDz1dMny95VfGo7&#10;qxruCYKYUPWupl2MriqKwDquIYys4waTwnoNEbe+LRoPPaJrVUzH47LorW+ct4yHgKfrIUlPiP4x&#10;gFYIyfjasp3mJg6oniuISCl00gW6ytMKwVl8K0TgkaiaItOYV2yC8TatxWoJVevBdZKdRoDHjPCA&#10;kwZpsOkd1BoikJ2Xf0FpybwNVsQRs7oYiGRFkMVk/ECbdx04nrmg1MHdiR7+Hyx7s994IpuazmaU&#10;GND4x68/X/389PXmxxdcr79/I/OkUu9ChcUXZuNPu+A2PlE+CK+JUNJ9RDtlEZAWOdR0Wo6fT2Zz&#10;So41Lcuzcp6BoOKHSBjmy5RjmHwxnSwWOVkMcAnW+RBfcatJCmqqpElSQAX71yHiCFj6qyQdK0P6&#10;mi7m04QJ6EuBfsBQO+QWTJvvBqtkcymVSjeCb7cXypM9JG/kLxFF3D/KUpM1hG6oy6nBNR2H5qVp&#10;SDw6FM3gY6FpBM0bShTHt5UiBIQqglS/K6OXYFr1j2psr0y6xLN7T1yT+oPeKdra5oh/bee8bDvU&#10;ZpLnThl0SWZwcnSy4f09xvdf8eoW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Vs5TdkAAAAJAQAA&#10;DwAAAAAAAAABACAAAAAiAAAAZHJzL2Rvd25yZXYueG1sUEsBAhQAFAAAAAgAh07iQEWx63AYAgAA&#10;DQQAAA4AAAAAAAAAAQAgAAAAKAEAAGRycy9lMm9Eb2MueG1sUEsFBgAAAAAGAAYAWQEAALIFAAAA&#10;AA==&#10;">
                  <v:fill on="f" focussize="0,0"/>
                  <v:stroke color="#000000" joinstyle="round" endarrow="block"/>
                  <v:imagedata o:title=""/>
                  <o:lock v:ext="edit" aspectratio="f"/>
                </v:line>
                <v:rect id="矩形 6" o:spid="_x0000_s1026" o:spt="1" style="position:absolute;left:574675;top:850265;height:444500;width:1543685;" fillcolor="#FFFFFF" filled="t" stroked="f" coordsize="21600,21600" o:gfxdata="UEsDBAoAAAAAAIdO4kAAAAAAAAAAAAAAAAAEAAAAZHJzL1BLAwQUAAAACACHTuJADJC8HtcAAAAJ&#10;AQAADwAAAGRycy9kb3ducmV2LnhtbE2PwU7DMBBE70j8g7VI3KidhlppiNMDUk/AgbYS1228TSJi&#10;O8ROW/6e5QTHnRnNvqk2VzeIM02xD95AtlAgyDfB9r41cNhvHwoQMaG3OARPBr4pwqa+vamwtOHi&#10;3+m8S63gEh9LNNClNJZSxqYjh3ERRvLsncLkMPE5tdJOeOFyN8ilUlo67D1/6HCk546az93sDKB+&#10;tF9vp/x1/zJrXLdXtV19KGPu7zL1BCLRNf2F4Ref0aFmpmOYvY1iMLDSS06yvs5AsF8UmqccDeS5&#10;0iDrSv5fUP8AUEsDBBQAAAAIAIdO4kA3tSbjyQEAAIMDAAAOAAAAZHJzL2Uyb0RvYy54bWytU82O&#10;0zAQviPxDpbvNGk3yVZR0z1QlQuClRYewHWcxJL/NHab9GmQuPEQPA7iNRg7YVmWyx7IwZnJjL/P&#10;3zfO7m7SilwEeGlNQ9ernBJhuG2l6Rv6+dPxzZYSH5hpmbJGNPQqPL3bv361G10tNnawqhVAEMT4&#10;enQNHUJwdZZ5PgjN/Mo6YbDYWdAsYAp91gIbEV2rbJPnVTZaaB1YLrzHr4e5SBdEeAmg7TrJxcHy&#10;sxYmzKggFAsoyQ/SebpPp+06wcPHrvMiENVQVBrSiiQYn+Ka7Xes7oG5QfLlCOwlR3imSTNpkPQR&#10;6sACI2eQ/0BpycF624UVtzqbhSRHUMU6f+bNw8CcSFrQau8eTff/D5Z/uNwDkW1DbwpKDNM48Z9f&#10;vv34/pVU0ZzR+Rp7Htw9LJnHMCqdOtDxjRrI1NDytqhuS0quDd2W+aYqZ2vFFAjH8rosbqot1jk2&#10;FEVR5sn77A+OAx/eCatJDBoKOLrkKLu89wG5sfV3S6T1Vsn2KJVKCfSntwrIheGYj+mJ9LjlrzZl&#10;YrOxcdtcnr+IdFEWmqh41hijMJ2mRfjJtlf06uxA9gOecJ0oYhPOJpEt9ygO/2mO8dN/Z/8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DJC8HtcAAAAJAQAADwAAAAAAAAABACAAAAAiAAAAZHJzL2Rv&#10;d25yZXYueG1sUEsBAhQAFAAAAAgAh07iQDe1JuPJAQAAgwMAAA4AAAAAAAAAAQAgAAAAJgEAAGRy&#10;cy9lMm9Eb2MueG1sUEsFBgAAAAAGAAYAWQEAAGEFA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矩形 3" o:spid="_x0000_s1026" o:spt="1" style="position:absolute;left:1948815;top:1421765;height:338455;width:1113155;" fillcolor="#FFFFFF" filled="t" stroked="t" coordsize="21600,21600" o:gfxdata="UEsDBAoAAAAAAIdO4kAAAAAAAAAAAAAAAAAEAAAAZHJzL1BLAwQUAAAACACHTuJARY+lC9cAAAAJ&#10;AQAADwAAAGRycy9kb3ducmV2LnhtbE2PQU+DQBCF7yb+h82YeLO7QCQUWXrQ1MRjSy+9DbACys4S&#10;dmnRX+940uO89/Lme8VutaO4mNkPjjREGwXCUOPagToNp2r/kIHwAanF0ZHR8GU87MrbmwLz1l3p&#10;YC7H0AkuIZ+jhj6EKZfSN72x6DduMsTeu5stBj7nTrYzXrncjjJWKpUWB+IPPU7muTfN53GxGuoh&#10;PuH3oXpVdrtPwttafSznF63v7yL1BCKYNfyF4Ref0aFkptot1HoxanhMY06yvo1AsJ9lKU+pNSSJ&#10;SkGWhfy/oPwBUEsDBBQAAAAIAIdO4kBTG6KxEAIAAEMEAAAOAAAAZHJzL2Uyb0RvYy54bWytU8uO&#10;0zAU3SPxD5b3NEkfQydqOgtK2SAYaeADXMdJLPklX7dJvwaJHR/B5yB+g2snDJ2BRRdkkR7XJ8f3&#10;nHu9uRu0IifhQVpT0WKWUyIMt7U0bUU/f9q/WlMCgZmaKWtERc8C6N325YtN70oxt51VtfAERQyU&#10;vatoF4Irswx4JzSDmXXC4GZjvWYBl77Nas96VNcqm+f5TdZbXztvuQDAf3fjJp0U/TWCtmkkFzvL&#10;j1qYMKp6oVhAS9BJB3Sbqm0awcPHpgERiKooOg3pjYcgPsR3tt2wsvXMdZJPJbBrSnjmSTNp8NBH&#10;qR0LjBy9/EtKS+4t2CbMuNXZaCQlgi6K/Fk2Dx1zInnBqME9hg7/T5Z/ON17IuuKzikxTGPDf375&#10;9uP7V7KI2fQOSqQ8uHs/rQBhNDo0XsdftEAGnKPb5XpdrCg5I17Oi9c3qzFbMQTCI6EoFsUKCRwZ&#10;i8V6iRglsz9KzkN4J6wmEVTUY+9SpOz0HsJI/U2JB4NVst5LpdLCt4c3ypMTwz7v0zOpP6EpQ/qK&#10;3q7msQ6Gw9vg0CDUDgMA06bznnwBl8J5ev4lHAvbMejGApLCaF/LIDwWz8pOsPqtqUk4OwzZ4N2i&#10;sRgtakqUwKsYUWIGJtU1TMxOmSgt0qBPKcWWjU2KKAyHAUUjPNj6jL0+Oi/bDgMukpG4g7OVOjHd&#10;gzi8l2vEl3d/+w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Fj6UL1wAAAAkBAAAPAAAAAAAAAAEA&#10;IAAAACIAAABkcnMvZG93bnJldi54bWxQSwECFAAUAAAACACHTuJAUxuisRACAABDBAAADgAAAAAA&#10;AAABACAAAAAmAQAAZHJzL2Uyb0RvYy54bWxQSwUGAAAAAAYABgBZAQAAqAUAAAAA&#10;">
                  <v:fill on="t" focussize="0,0"/>
                  <v:stroke color="#000000" joinstyle="miter"/>
                  <v:imagedata o:title=""/>
                  <o:lock v:ext="edit" aspectratio="f"/>
                  <v:textbox>
                    <w:txbxContent>
                      <w:p>
                        <w:pPr>
                          <w:spacing w:line="240" w:lineRule="exact"/>
                          <w:jc w:val="center"/>
                          <w:rPr>
                            <w:rFonts w:hint="eastAsia"/>
                            <w:sz w:val="18"/>
                            <w:szCs w:val="18"/>
                            <w:lang w:eastAsia="zh-CN"/>
                          </w:rPr>
                        </w:pPr>
                        <w:r>
                          <w:rPr>
                            <w:rFonts w:hint="eastAsia"/>
                            <w:sz w:val="18"/>
                            <w:szCs w:val="18"/>
                            <w:lang w:eastAsia="zh-CN"/>
                          </w:rPr>
                          <w:t>缴费、领证</w:t>
                        </w:r>
                      </w:p>
                      <w:p>
                        <w:pPr>
                          <w:rPr>
                            <w:rFonts w:hint="eastAsia"/>
                            <w:lang w:val="en-US" w:eastAsia="zh-CN"/>
                          </w:rPr>
                        </w:pPr>
                      </w:p>
                    </w:txbxContent>
                  </v:textbox>
                </v:rect>
                <w10:wrap type="tight"/>
              </v:group>
            </w:pict>
          </mc:Fallback>
        </mc:AlternateConten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rPr>
      </w:pP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七、办理时限</w:t>
      </w: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zh-CN"/>
        </w:rPr>
      </w:pPr>
      <w:r>
        <w:rPr>
          <w:rFonts w:hint="eastAsia" w:ascii="仿宋_GB2312" w:hAnsi="仿宋_GB2312" w:eastAsia="仿宋_GB2312" w:cs="仿宋_GB2312"/>
          <w:bCs/>
          <w:color w:val="auto"/>
          <w:kern w:val="0"/>
          <w:sz w:val="32"/>
          <w:szCs w:val="32"/>
          <w:lang w:val="en-US" w:eastAsia="zh-CN"/>
        </w:rPr>
        <w:t>法定办结时限：30个工作日，</w:t>
      </w:r>
      <w:r>
        <w:rPr>
          <w:rFonts w:hint="eastAsia" w:ascii="仿宋_GB2312" w:hAnsi="仿宋_GB2312" w:eastAsia="仿宋_GB2312" w:cs="仿宋_GB2312"/>
          <w:bCs/>
          <w:color w:val="auto"/>
          <w:kern w:val="0"/>
          <w:sz w:val="32"/>
          <w:szCs w:val="32"/>
          <w:lang w:val="zh-CN" w:eastAsia="zh-CN"/>
        </w:rPr>
        <w:t>承诺办结时限：</w:t>
      </w:r>
      <w:r>
        <w:rPr>
          <w:rFonts w:hint="eastAsia" w:ascii="仿宋_GB2312" w:hAnsi="仿宋_GB2312" w:eastAsia="仿宋_GB2312" w:cs="仿宋_GB2312"/>
          <w:bCs/>
          <w:color w:val="auto"/>
          <w:kern w:val="0"/>
          <w:sz w:val="32"/>
          <w:szCs w:val="32"/>
          <w:lang w:val="en-US" w:eastAsia="zh-CN"/>
        </w:rPr>
        <w:t>1</w:t>
      </w:r>
      <w:r>
        <w:rPr>
          <w:rFonts w:hint="eastAsia" w:ascii="仿宋_GB2312" w:hAnsi="仿宋_GB2312" w:eastAsia="仿宋_GB2312" w:cs="仿宋_GB2312"/>
          <w:bCs/>
          <w:color w:val="auto"/>
          <w:kern w:val="0"/>
          <w:sz w:val="32"/>
          <w:szCs w:val="32"/>
          <w:lang w:val="zh-CN" w:eastAsia="zh-CN"/>
        </w:rPr>
        <w:t>个工作日。</w:t>
      </w: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八、收费依据及标准</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bCs/>
          <w:color w:val="auto"/>
          <w:kern w:val="0"/>
          <w:sz w:val="32"/>
          <w:szCs w:val="32"/>
          <w:lang w:val="en-US" w:eastAsia="zh-CN"/>
        </w:rPr>
        <w:t>（一）依据：</w:t>
      </w:r>
      <w:r>
        <w:rPr>
          <w:rFonts w:hint="eastAsia" w:ascii="仿宋_GB2312" w:hAnsi="仿宋_GB2312" w:eastAsia="仿宋_GB2312" w:cs="仿宋_GB2312"/>
          <w:bCs/>
          <w:color w:val="auto"/>
          <w:kern w:val="0"/>
          <w:sz w:val="32"/>
          <w:szCs w:val="32"/>
        </w:rPr>
        <w:t>发改价格规〔2016〕2559号、</w:t>
      </w:r>
      <w:r>
        <w:rPr>
          <w:rFonts w:hint="eastAsia" w:ascii="仿宋_GB2312" w:hAnsi="仿宋_GB2312" w:eastAsia="仿宋_GB2312" w:cs="仿宋_GB2312"/>
          <w:bCs/>
          <w:color w:val="auto"/>
          <w:kern w:val="0"/>
          <w:sz w:val="32"/>
          <w:szCs w:val="32"/>
          <w:lang w:eastAsia="zh-CN"/>
        </w:rPr>
        <w:t>财税</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eastAsia="zh-CN"/>
        </w:rPr>
        <w:t>201</w:t>
      </w:r>
      <w:r>
        <w:rPr>
          <w:rFonts w:hint="eastAsia" w:ascii="仿宋_GB2312" w:hAnsi="仿宋_GB2312" w:eastAsia="仿宋_GB2312" w:cs="仿宋_GB2312"/>
          <w:bCs/>
          <w:color w:val="auto"/>
          <w:kern w:val="0"/>
          <w:sz w:val="32"/>
          <w:szCs w:val="32"/>
          <w:lang w:val="en-US" w:eastAsia="zh-CN"/>
        </w:rPr>
        <w:t>9</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val="en-US" w:eastAsia="zh-CN"/>
        </w:rPr>
        <w:t>45</w:t>
      </w:r>
      <w:r>
        <w:rPr>
          <w:rFonts w:hint="eastAsia" w:ascii="仿宋_GB2312" w:hAnsi="仿宋_GB2312" w:eastAsia="仿宋_GB2312" w:cs="仿宋_GB2312"/>
          <w:bCs/>
          <w:color w:val="auto"/>
          <w:kern w:val="0"/>
          <w:sz w:val="32"/>
          <w:szCs w:val="32"/>
          <w:lang w:eastAsia="zh-CN"/>
        </w:rPr>
        <w:t>号、财税</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eastAsia="zh-CN"/>
        </w:rPr>
        <w:t>2019</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eastAsia="zh-CN"/>
        </w:rPr>
        <w:t>53号、</w:t>
      </w:r>
      <w:r>
        <w:rPr>
          <w:rFonts w:hint="eastAsia" w:ascii="仿宋_GB2312" w:hAnsi="仿宋_GB2312" w:eastAsia="仿宋_GB2312" w:cs="仿宋_GB2312"/>
          <w:bCs/>
          <w:color w:val="auto"/>
          <w:kern w:val="0"/>
          <w:sz w:val="32"/>
          <w:szCs w:val="32"/>
        </w:rPr>
        <w:t>财政部公告2019年第76号</w:t>
      </w:r>
      <w:r>
        <w:rPr>
          <w:rFonts w:hint="eastAsia" w:ascii="仿宋_GB2312" w:hAnsi="仿宋_GB2312" w:eastAsia="仿宋_GB2312" w:cs="仿宋_GB2312"/>
          <w:bCs/>
          <w:color w:val="auto"/>
          <w:kern w:val="0"/>
          <w:sz w:val="32"/>
          <w:szCs w:val="32"/>
          <w:lang w:eastAsia="zh-CN"/>
        </w:rPr>
        <w:t>。</w:t>
      </w:r>
    </w:p>
    <w:p>
      <w:pPr>
        <w:keepNext w:val="0"/>
        <w:keepLines w:val="0"/>
        <w:pageBreakBefore w:val="0"/>
        <w:widowControl w:val="0"/>
        <w:tabs>
          <w:tab w:val="left" w:pos="2310"/>
          <w:tab w:val="left" w:pos="3420"/>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（二）标准：</w:t>
      </w:r>
      <w:r>
        <w:rPr>
          <w:rFonts w:hint="eastAsia" w:ascii="仿宋_GB2312" w:hAnsi="仿宋_GB2312" w:eastAsia="仿宋_GB2312" w:cs="仿宋_GB2312"/>
          <w:bCs/>
          <w:color w:val="auto"/>
          <w:kern w:val="0"/>
          <w:sz w:val="32"/>
          <w:szCs w:val="32"/>
        </w:rPr>
        <w:t>登记费</w:t>
      </w:r>
      <w:r>
        <w:rPr>
          <w:rFonts w:hint="eastAsia" w:ascii="仿宋_GB2312" w:hAnsi="仿宋_GB2312" w:eastAsia="仿宋_GB2312" w:cs="仿宋_GB2312"/>
          <w:bCs/>
          <w:color w:val="auto"/>
          <w:kern w:val="0"/>
          <w:sz w:val="32"/>
          <w:szCs w:val="32"/>
          <w:lang w:val="en-US" w:eastAsia="zh-CN"/>
        </w:rPr>
        <w:t>住宅80</w:t>
      </w:r>
      <w:r>
        <w:rPr>
          <w:rFonts w:hint="eastAsia" w:ascii="仿宋_GB2312" w:hAnsi="仿宋_GB2312" w:eastAsia="仿宋_GB2312" w:cs="仿宋_GB2312"/>
          <w:bCs/>
          <w:color w:val="auto"/>
          <w:kern w:val="0"/>
          <w:sz w:val="32"/>
          <w:szCs w:val="32"/>
        </w:rPr>
        <w:t>元/件</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lang w:val="en-US" w:eastAsia="zh-CN"/>
        </w:rPr>
        <w:t>非住宅550元</w:t>
      </w:r>
      <w:r>
        <w:rPr>
          <w:rFonts w:hint="eastAsia" w:ascii="仿宋_GB2312" w:hAnsi="仿宋_GB2312" w:eastAsia="仿宋_GB2312" w:cs="仿宋_GB2312"/>
          <w:bCs/>
          <w:color w:val="auto"/>
          <w:kern w:val="0"/>
          <w:sz w:val="32"/>
          <w:szCs w:val="32"/>
        </w:rPr>
        <w:t>/件</w:t>
      </w:r>
      <w:r>
        <w:rPr>
          <w:rFonts w:hint="eastAsia" w:ascii="仿宋_GB2312" w:hAnsi="仿宋_GB2312" w:eastAsia="仿宋_GB2312" w:cs="仿宋_GB2312"/>
          <w:bCs/>
          <w:color w:val="auto"/>
          <w:kern w:val="0"/>
          <w:sz w:val="32"/>
          <w:szCs w:val="32"/>
          <w:lang w:eastAsia="zh-CN"/>
        </w:rPr>
        <w:t>。</w:t>
      </w:r>
    </w:p>
    <w:p>
      <w:pPr>
        <w:keepNext w:val="0"/>
        <w:keepLines w:val="0"/>
        <w:pageBreakBefore w:val="0"/>
        <w:widowControl w:val="0"/>
        <w:tabs>
          <w:tab w:val="left" w:pos="2310"/>
          <w:tab w:val="left" w:pos="3420"/>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rPr>
        <w:t>工本费</w:t>
      </w:r>
      <w:r>
        <w:rPr>
          <w:rFonts w:hint="eastAsia" w:ascii="仿宋_GB2312" w:hAnsi="仿宋_GB2312" w:eastAsia="仿宋_GB2312" w:cs="仿宋_GB2312"/>
          <w:bCs/>
          <w:color w:val="auto"/>
          <w:kern w:val="0"/>
          <w:sz w:val="32"/>
          <w:szCs w:val="32"/>
          <w:lang w:val="en-US" w:eastAsia="zh-CN"/>
        </w:rPr>
        <w:t>10元/本（核发一本证书免收工本费，</w:t>
      </w:r>
      <w:r>
        <w:rPr>
          <w:rFonts w:hint="eastAsia" w:ascii="仿宋_GB2312" w:hAnsi="仿宋_GB2312" w:eastAsia="仿宋_GB2312" w:cs="仿宋_GB2312"/>
          <w:bCs/>
          <w:color w:val="auto"/>
          <w:kern w:val="0"/>
          <w:sz w:val="32"/>
          <w:szCs w:val="32"/>
        </w:rPr>
        <w:t>每增加一本加收证书</w:t>
      </w:r>
      <w:r>
        <w:rPr>
          <w:rFonts w:hint="eastAsia" w:ascii="仿宋_GB2312" w:hAnsi="仿宋_GB2312" w:eastAsia="仿宋_GB2312" w:cs="仿宋_GB2312"/>
          <w:bCs/>
          <w:color w:val="auto"/>
          <w:kern w:val="0"/>
          <w:sz w:val="32"/>
          <w:szCs w:val="32"/>
          <w:lang w:eastAsia="zh-CN"/>
        </w:rPr>
        <w:t>工本费</w:t>
      </w:r>
      <w:r>
        <w:rPr>
          <w:rFonts w:hint="eastAsia" w:ascii="仿宋_GB2312" w:hAnsi="仿宋_GB2312" w:eastAsia="仿宋_GB2312" w:cs="仿宋_GB2312"/>
          <w:bCs/>
          <w:color w:val="auto"/>
          <w:kern w:val="0"/>
          <w:sz w:val="32"/>
          <w:szCs w:val="32"/>
        </w:rPr>
        <w:t>10元</w:t>
      </w:r>
      <w:r>
        <w:rPr>
          <w:rFonts w:hint="eastAsia" w:ascii="仿宋_GB2312" w:hAnsi="仿宋_GB2312" w:eastAsia="仿宋_GB2312" w:cs="仿宋_GB2312"/>
          <w:bCs/>
          <w:color w:val="auto"/>
          <w:kern w:val="0"/>
          <w:sz w:val="32"/>
          <w:szCs w:val="32"/>
          <w:lang w:val="en-US" w:eastAsia="zh-CN"/>
        </w:rPr>
        <w:t>）。</w:t>
      </w:r>
    </w:p>
    <w:p>
      <w:pPr>
        <w:keepNext w:val="0"/>
        <w:keepLines w:val="0"/>
        <w:pageBreakBefore w:val="0"/>
        <w:widowControl w:val="0"/>
        <w:numPr>
          <w:ilvl w:val="0"/>
          <w:numId w:val="2"/>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收费减免</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1.廉租住房、公共租赁住房、经济适用住房和棚户区改造安置住房办理不动产登记，免收登记费。</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2.申请与房屋配套的车库、车位、储藏室等登记，不单独核发不动产权属证书的，免收登记费；</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3.申请办理车库、车位、储藏室等登记，单独核发不动产权属证书或登记证明的，不动产登记费减按住宅类不动产登记每件80元收取。</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4.小微企业（含个体工商户）申请不动产登记的，免收登记费。</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5.易地扶贫搬迁项目涉及的不动产登记，免收登记费。</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6.用于提供社区养老、托育、家政服务的房产、土地不动产登记，免收登记费。</w:t>
      </w: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九、注意事项</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（一）</w:t>
      </w:r>
      <w:r>
        <w:rPr>
          <w:rFonts w:hint="eastAsia" w:ascii="仿宋_GB2312" w:hAnsi="仿宋_GB2312" w:eastAsia="仿宋_GB2312" w:cs="仿宋_GB2312"/>
          <w:bCs/>
          <w:color w:val="auto"/>
          <w:kern w:val="0"/>
          <w:sz w:val="32"/>
          <w:szCs w:val="32"/>
        </w:rPr>
        <w:t>申请人需核验身份证明</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应提交下列相应的身份证明材料：a)境内自然人：提交居民身份证；身份证遗失的，应提交临时居民身份证。未成年人提交居民身份证或者户口簿；b)香港、澳门特别行政区自然人：提交香港、澳门特别行政区永久性居民身份证或者护照或者中华人民共和国港澳居民居住证或者来往内地通行证；c)台湾地区自然人：提交台湾居民来往大陆通行证或者中华人民共和国台湾居民居住证；d)华侨：提交中华人民共和国护照和国外长期居留身份证件；e)外籍自然人：外国人永久居留身份证，或者其国籍所在国护照；f)境内法人或者非法人组织：营业执照，或者统一社会信用代码证、事业单位法人证书，或者其他身份登记证明；g)香港特别行政区、澳门特别行政区、台湾地区的法人或者非法人组织：提交经公证、转递的注册文件，或者其在境内设立分支机构或者代表机构的注册文件；h)境外法人或者非法人组织：提交经领事认证的注册文件，或者其在境内设立分支机构或者代表机构的注册文件。属于《取消外国公文书认证要求的公约》成员的，可提交注册文件的附加证明书，中国声明不适用《取消外国公文书认证要求的公约》的除外。</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（二）</w:t>
      </w:r>
      <w:r>
        <w:rPr>
          <w:rFonts w:hint="eastAsia" w:ascii="仿宋_GB2312" w:hAnsi="仿宋_GB2312" w:eastAsia="仿宋_GB2312" w:cs="仿宋_GB2312"/>
          <w:bCs/>
          <w:color w:val="auto"/>
          <w:kern w:val="0"/>
          <w:sz w:val="32"/>
          <w:szCs w:val="32"/>
        </w:rPr>
        <w:t>申请人委托代理人申请不动产登记的，代理人应向不动产登记机构提交申请人身份证明、授权委托书及代理人的身份证明。授权委托书中应载明代理人的姓名、代理事项、权限和期间，并由委托人及代理人签名、盖章或者按指印。a)自然人处分不动产的，可提交经公证的授权委托书；授权委托书未经公证的，应由不动产登记机构工作人员现场或者线上见证，但自然人委托代理人处分土地承包经营权和土地经营权的，提交的授权委托书可不进行公证或者见证。b)境外申请人处分不动产的，其授权委托书应经公证或者认证。属于《取消外国公文书认证要求的公约》成员的，可提交附加证明书，中国声明不适用《取消外国公文书认证要求的公约》的除外。c)代理人为两人或者两人以上，代为处分不动产的，全部代理人应共同代为申请，但是当事人另有约定的除外。</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eastAsia="zh-CN"/>
        </w:rPr>
        <w:t>（三）</w:t>
      </w:r>
      <w:r>
        <w:rPr>
          <w:rFonts w:hint="eastAsia" w:ascii="仿宋_GB2312" w:hAnsi="仿宋_GB2312" w:eastAsia="仿宋_GB2312" w:cs="仿宋_GB2312"/>
          <w:bCs/>
          <w:color w:val="auto"/>
          <w:kern w:val="0"/>
          <w:sz w:val="32"/>
          <w:szCs w:val="32"/>
        </w:rPr>
        <w:t>对于法律禁止抵押的下列财产，不</w:t>
      </w:r>
      <w:r>
        <w:rPr>
          <w:rFonts w:hint="eastAsia" w:ascii="仿宋_GB2312" w:hAnsi="仿宋_GB2312" w:eastAsia="仿宋_GB2312" w:cs="仿宋_GB2312"/>
          <w:bCs/>
          <w:color w:val="auto"/>
          <w:kern w:val="0"/>
          <w:sz w:val="32"/>
          <w:szCs w:val="32"/>
          <w:lang w:val="en-US" w:eastAsia="zh-CN"/>
        </w:rPr>
        <w:t>得</w:t>
      </w:r>
      <w:r>
        <w:rPr>
          <w:rFonts w:hint="eastAsia" w:ascii="仿宋_GB2312" w:hAnsi="仿宋_GB2312" w:eastAsia="仿宋_GB2312" w:cs="仿宋_GB2312"/>
          <w:bCs/>
          <w:color w:val="auto"/>
          <w:kern w:val="0"/>
          <w:sz w:val="32"/>
          <w:szCs w:val="32"/>
        </w:rPr>
        <w:t>办理不动产抵押权登记：a)土地所有权；b)宅基地、自留地、自留山等集体所有的土地使用权，但是法律规定可抵押的除外；c)学校、幼儿园、医疗机构、养老机构等为公益目的成立的非营利法人的教育设施、医疗卫生设施、养老设施和其他社会公益设施；d)所有权、使用权不明或者有争议的不动产；e)依法被查封的不动产；f)法律、行政法规规定不得抵押的其他不动产。</w:t>
      </w: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十、办理部门</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eastAsia="zh-CN"/>
        </w:rPr>
      </w:pPr>
      <w:r>
        <w:rPr>
          <w:rFonts w:hint="eastAsia" w:ascii="仿宋_GB2312" w:hAnsi="仿宋_GB2312" w:eastAsia="仿宋_GB2312" w:cs="仿宋_GB2312"/>
          <w:bCs/>
          <w:color w:val="auto"/>
          <w:kern w:val="0"/>
          <w:sz w:val="32"/>
          <w:szCs w:val="32"/>
          <w:lang w:eastAsia="zh-CN"/>
        </w:rPr>
        <w:t>防城港市不动产登记中心。</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eastAsia="zh-CN"/>
        </w:rPr>
      </w:pPr>
      <w:r>
        <w:rPr>
          <w:rFonts w:hint="eastAsia" w:ascii="仿宋_GB2312" w:hAnsi="仿宋_GB2312" w:eastAsia="仿宋_GB2312" w:cs="仿宋_GB2312"/>
          <w:b w:val="0"/>
          <w:bCs/>
          <w:color w:val="auto"/>
          <w:kern w:val="0"/>
          <w:sz w:val="32"/>
          <w:szCs w:val="32"/>
        </w:rPr>
        <w:t>地址：</w:t>
      </w:r>
      <w:r>
        <w:rPr>
          <w:rFonts w:hint="eastAsia" w:ascii="仿宋_GB2312" w:hAnsi="仿宋_GB2312" w:eastAsia="仿宋_GB2312" w:cs="仿宋_GB2312"/>
          <w:b w:val="0"/>
          <w:bCs/>
          <w:color w:val="auto"/>
          <w:kern w:val="0"/>
          <w:sz w:val="32"/>
          <w:szCs w:val="32"/>
          <w:lang w:eastAsia="zh-CN"/>
        </w:rPr>
        <w:t>防城港市港口区江山大道88号市政务服务中心一楼不动产登记办理区（可乘坐3路公交车至“市民中心站”下车，往江山大道方向步行200米左右即可到达；可乘坐117路公交车至“市民中心（园博园中区）站”下车后即可到达。）。</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eastAsia="zh-CN"/>
        </w:rPr>
      </w:pPr>
      <w:r>
        <w:rPr>
          <w:rFonts w:hint="eastAsia" w:ascii="仿宋_GB2312" w:hAnsi="仿宋_GB2312" w:eastAsia="仿宋_GB2312" w:cs="仿宋_GB2312"/>
          <w:b w:val="0"/>
          <w:bCs/>
          <w:color w:val="auto"/>
          <w:kern w:val="0"/>
          <w:sz w:val="32"/>
          <w:szCs w:val="32"/>
        </w:rPr>
        <w:t>对外服务时间：</w:t>
      </w:r>
      <w:r>
        <w:rPr>
          <w:rFonts w:hint="eastAsia" w:ascii="仿宋_GB2312" w:hAnsi="仿宋_GB2312" w:eastAsia="仿宋_GB2312" w:cs="仿宋_GB2312"/>
          <w:b w:val="0"/>
          <w:bCs/>
          <w:color w:val="auto"/>
          <w:kern w:val="0"/>
          <w:sz w:val="32"/>
          <w:szCs w:val="32"/>
          <w:lang w:eastAsia="zh-CN"/>
        </w:rPr>
        <w:t>周一至周五（节假日除外），上午9∶00—12∶00，下午13∶30—16∶30。</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bCs/>
          <w:color w:val="auto"/>
          <w:spacing w:val="-8"/>
          <w:kern w:val="0"/>
          <w:sz w:val="28"/>
          <w:lang w:eastAsia="zh-CN"/>
        </w:rPr>
      </w:pPr>
      <w:r>
        <w:rPr>
          <w:rFonts w:hint="eastAsia" w:ascii="仿宋_GB2312" w:hAnsi="仿宋_GB2312" w:eastAsia="仿宋_GB2312" w:cs="仿宋_GB2312"/>
          <w:b w:val="0"/>
          <w:bCs/>
          <w:color w:val="auto"/>
          <w:kern w:val="0"/>
          <w:sz w:val="32"/>
          <w:szCs w:val="32"/>
        </w:rPr>
        <w:t>咨询电话：</w:t>
      </w:r>
      <w:r>
        <w:rPr>
          <w:rFonts w:hint="eastAsia" w:ascii="仿宋_GB2312" w:hAnsi="仿宋_GB2312" w:eastAsia="仿宋_GB2312" w:cs="仿宋_GB2312"/>
          <w:b w:val="0"/>
          <w:bCs/>
          <w:color w:val="auto"/>
          <w:kern w:val="0"/>
          <w:sz w:val="32"/>
          <w:szCs w:val="32"/>
          <w:lang w:eastAsia="zh-CN"/>
        </w:rPr>
        <w:t>077</w:t>
      </w:r>
      <w:r>
        <w:rPr>
          <w:rFonts w:hint="eastAsia" w:ascii="仿宋_GB2312" w:hAnsi="仿宋_GB2312" w:eastAsia="仿宋_GB2312" w:cs="仿宋_GB2312"/>
          <w:bCs/>
          <w:color w:val="auto"/>
          <w:kern w:val="0"/>
          <w:sz w:val="32"/>
          <w:szCs w:val="32"/>
          <w:lang w:eastAsia="zh-CN"/>
        </w:rPr>
        <w:t>0-2882370。</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rPr>
      </w:pPr>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宋体" w:hAnsi="宋体"/>
        <w:sz w:val="28"/>
        <w:szCs w:val="28"/>
      </w:rPr>
    </w:pPr>
    <w:r>
      <w:rPr>
        <w:rFonts w:hint="eastAsia"/>
      </w:rPr>
      <w:drawing>
        <wp:anchor distT="0" distB="0" distL="114300" distR="114300" simplePos="0" relativeHeight="251660288" behindDoc="1" locked="0" layoutInCell="1" allowOverlap="1">
          <wp:simplePos x="0" y="0"/>
          <wp:positionH relativeFrom="column">
            <wp:posOffset>-9525</wp:posOffset>
          </wp:positionH>
          <wp:positionV relativeFrom="paragraph">
            <wp:posOffset>-163195</wp:posOffset>
          </wp:positionV>
          <wp:extent cx="508635" cy="508635"/>
          <wp:effectExtent l="0" t="0" r="5715" b="5715"/>
          <wp:wrapTight wrapText="bothSides">
            <wp:wrapPolygon>
              <wp:start x="4854" y="0"/>
              <wp:lineTo x="0" y="4854"/>
              <wp:lineTo x="0" y="16180"/>
              <wp:lineTo x="4854" y="21034"/>
              <wp:lineTo x="16180" y="21034"/>
              <wp:lineTo x="21034" y="16180"/>
              <wp:lineTo x="21034" y="4854"/>
              <wp:lineTo x="16180" y="0"/>
              <wp:lineTo x="4854" y="0"/>
            </wp:wrapPolygon>
          </wp:wrapTight>
          <wp:docPr id="9"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中心标志"/>
                  <pic:cNvPicPr>
                    <a:picLocks noChangeAspect="1"/>
                  </pic:cNvPicPr>
                </pic:nvPicPr>
                <pic:blipFill>
                  <a:blip r:embed="rId1"/>
                  <a:stretch>
                    <a:fillRect/>
                  </a:stretch>
                </pic:blipFill>
                <pic:spPr>
                  <a:xfrm>
                    <a:off x="0" y="0"/>
                    <a:ext cx="508635" cy="508635"/>
                  </a:xfrm>
                  <a:prstGeom prst="rect">
                    <a:avLst/>
                  </a:prstGeom>
                  <a:noFill/>
                  <a:ln>
                    <a:noFill/>
                  </a:ln>
                </pic:spPr>
              </pic:pic>
            </a:graphicData>
          </a:graphic>
        </wp:anchor>
      </w:drawing>
    </w:r>
  </w:p>
  <w:p>
    <w:pPr>
      <w:pStyle w:val="4"/>
      <w:jc w:val="right"/>
      <w:rPr>
        <w:rFonts w:ascii="宋体" w:hAnsi="宋体"/>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B264AF"/>
    <w:multiLevelType w:val="singleLevel"/>
    <w:tmpl w:val="A1B264AF"/>
    <w:lvl w:ilvl="0" w:tentative="0">
      <w:start w:val="3"/>
      <w:numFmt w:val="chineseCounting"/>
      <w:suff w:val="nothing"/>
      <w:lvlText w:val="%1、"/>
      <w:lvlJc w:val="left"/>
      <w:rPr>
        <w:rFonts w:hint="eastAsia"/>
      </w:rPr>
    </w:lvl>
  </w:abstractNum>
  <w:abstractNum w:abstractNumId="1">
    <w:nsid w:val="1981F78D"/>
    <w:multiLevelType w:val="singleLevel"/>
    <w:tmpl w:val="1981F78D"/>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2B082D"/>
    <w:rsid w:val="04267B2D"/>
    <w:rsid w:val="06E83D9E"/>
    <w:rsid w:val="08381BDD"/>
    <w:rsid w:val="09440A55"/>
    <w:rsid w:val="0EA27EB9"/>
    <w:rsid w:val="0F977B31"/>
    <w:rsid w:val="12FB3F33"/>
    <w:rsid w:val="156C6647"/>
    <w:rsid w:val="18355516"/>
    <w:rsid w:val="19CE05F3"/>
    <w:rsid w:val="1BBD091F"/>
    <w:rsid w:val="1BDC17DA"/>
    <w:rsid w:val="1BE70553"/>
    <w:rsid w:val="1CB25FAA"/>
    <w:rsid w:val="1E3D5D47"/>
    <w:rsid w:val="20855235"/>
    <w:rsid w:val="20DB1848"/>
    <w:rsid w:val="294A6192"/>
    <w:rsid w:val="2DF710C4"/>
    <w:rsid w:val="2DFF51EF"/>
    <w:rsid w:val="2EE43FBD"/>
    <w:rsid w:val="3073310C"/>
    <w:rsid w:val="325356E2"/>
    <w:rsid w:val="33092244"/>
    <w:rsid w:val="342A00B4"/>
    <w:rsid w:val="351915EB"/>
    <w:rsid w:val="39991390"/>
    <w:rsid w:val="3A0B4AF4"/>
    <w:rsid w:val="3DAD4B25"/>
    <w:rsid w:val="413C79DE"/>
    <w:rsid w:val="432B082D"/>
    <w:rsid w:val="43547FC2"/>
    <w:rsid w:val="458F3774"/>
    <w:rsid w:val="4A17094B"/>
    <w:rsid w:val="4AF76E89"/>
    <w:rsid w:val="518E0E3D"/>
    <w:rsid w:val="53AE2B24"/>
    <w:rsid w:val="544D7D8B"/>
    <w:rsid w:val="544F0B0A"/>
    <w:rsid w:val="55E4434A"/>
    <w:rsid w:val="57284198"/>
    <w:rsid w:val="58466368"/>
    <w:rsid w:val="5ACE166D"/>
    <w:rsid w:val="5F622211"/>
    <w:rsid w:val="64216B3E"/>
    <w:rsid w:val="649C04A0"/>
    <w:rsid w:val="66BB553F"/>
    <w:rsid w:val="67A755AC"/>
    <w:rsid w:val="6C0D009B"/>
    <w:rsid w:val="6C3D30CC"/>
    <w:rsid w:val="70FF3D63"/>
    <w:rsid w:val="7B9F3CBE"/>
    <w:rsid w:val="7ECD22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spacing w:before="100" w:beforeAutospacing="1" w:after="100" w:afterAutospacing="1"/>
      <w:outlineLvl w:val="3"/>
    </w:pPr>
    <w:rPr>
      <w:rFonts w:hint="default" w:eastAsia="黑体"/>
      <w:b/>
      <w:sz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2536</Words>
  <Characters>2610</Characters>
  <Lines>0</Lines>
  <Paragraphs>0</Paragraphs>
  <TotalTime>2</TotalTime>
  <ScaleCrop>false</ScaleCrop>
  <LinksUpToDate>false</LinksUpToDate>
  <CharactersWithSpaces>2610</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2025-11-07T02:50:00Z</dcterms:created>
  <dc:creator>The rose tree</dc:creator>
  <cp:lastModifiedBy>The rose tree</cp:lastModifiedBy>
  <dcterms:modified xsi:type="dcterms:W3CDTF">2025-11-14T05:27:57Z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EC23BBB6C67145CE8B518F9D28781ECF_13</vt:lpwstr>
  </property>
  <property fmtid="{D5CDD505-2E9C-101B-9397-08002B2CF9AE}" pid="4" name="KSOTemplateDocerSaveRecord">
    <vt:lpwstr>eyJoZGlkIjoiYjkxMDI1NzhiMjI3MWMwZTk2YmIwNmQwZDU0NzcyM2EifQ==</vt:lpwstr>
  </property>
</Properties>
</file>