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lang w:eastAsia="zh-CN"/>
        </w:rPr>
        <w:t>国有建设用地使用权转移登记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已经登记的国有建设用地使用权，因下列情形导致权属发生转移的，当事人可申请转移登记：a)转让、互换、作价出资（入股）、赠与；b)继承或者受遗赠的；c)法人或者非法人组织合并、分立等导致权属发生转</w:t>
      </w:r>
      <w:bookmarkStart w:id="0" w:name="_GoBack"/>
      <w:bookmarkEnd w:id="0"/>
      <w:r>
        <w:rPr>
          <w:rFonts w:hint="eastAsia" w:ascii="仿宋_GB2312" w:hAnsi="仿宋_GB2312" w:eastAsia="仿宋_GB2312" w:cs="仿宋_GB2312"/>
          <w:b w:val="0"/>
          <w:bCs w:val="0"/>
          <w:color w:val="auto"/>
          <w:sz w:val="32"/>
          <w:szCs w:val="32"/>
          <w:highlight w:val="none"/>
          <w:lang w:eastAsia="zh-CN"/>
        </w:rPr>
        <w:t>移的；d)共有人增加或者减少以及共有份额变化的；e)因人民法院、仲裁机构的生效法律文书等导致权属发生转移的；f)法律、行政法规规定的其他情形。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二、申请主体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（一）国有建设用地使用权转移登记应由双方当事人共同申请，转让方应为不动产登记簿记载的权利人。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（二）符合</w:t>
      </w:r>
      <w:r>
        <w:rPr>
          <w:rFonts w:hint="eastAsia" w:ascii="仿宋_GB2312" w:hAnsi="仿宋_GB2312" w:eastAsia="仿宋_GB2312" w:cs="仿宋_GB2312"/>
          <w:b w:val="0"/>
          <w:bCs w:val="0"/>
          <w:color w:val="auto"/>
          <w:sz w:val="32"/>
          <w:szCs w:val="32"/>
          <w:highlight w:val="none"/>
          <w:lang w:val="en-US" w:eastAsia="zh-CN"/>
        </w:rPr>
        <w:t>下列</w:t>
      </w:r>
      <w:r>
        <w:rPr>
          <w:rFonts w:hint="eastAsia" w:ascii="仿宋_GB2312" w:hAnsi="仿宋_GB2312" w:eastAsia="仿宋_GB2312" w:cs="仿宋_GB2312"/>
          <w:b w:val="0"/>
          <w:bCs w:val="0"/>
          <w:color w:val="auto"/>
          <w:sz w:val="32"/>
          <w:szCs w:val="32"/>
          <w:highlight w:val="none"/>
          <w:lang w:eastAsia="zh-CN"/>
        </w:rPr>
        <w:t>情形的可单方申请：</w:t>
      </w: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b w:val="0"/>
          <w:bCs w:val="0"/>
          <w:color w:val="auto"/>
          <w:sz w:val="32"/>
          <w:szCs w:val="32"/>
          <w:highlight w:val="none"/>
          <w:lang w:eastAsia="zh-CN"/>
        </w:rPr>
        <w:t>)继承、受遗赠取得不动产权利的；</w:t>
      </w:r>
      <w:r>
        <w:rPr>
          <w:rFonts w:hint="eastAsia" w:ascii="仿宋_GB2312" w:hAnsi="仿宋_GB2312" w:eastAsia="仿宋_GB2312" w:cs="仿宋_GB2312"/>
          <w:b w:val="0"/>
          <w:bCs w:val="0"/>
          <w:color w:val="auto"/>
          <w:sz w:val="32"/>
          <w:szCs w:val="32"/>
          <w:highlight w:val="none"/>
          <w:lang w:val="en-US" w:eastAsia="zh-CN"/>
        </w:rPr>
        <w:t>b</w:t>
      </w:r>
      <w:r>
        <w:rPr>
          <w:rFonts w:hint="eastAsia" w:ascii="仿宋_GB2312" w:hAnsi="仿宋_GB2312" w:eastAsia="仿宋_GB2312" w:cs="仿宋_GB2312"/>
          <w:b w:val="0"/>
          <w:bCs w:val="0"/>
          <w:color w:val="auto"/>
          <w:sz w:val="32"/>
          <w:szCs w:val="32"/>
          <w:highlight w:val="none"/>
          <w:lang w:eastAsia="zh-CN"/>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sz w:val="32"/>
          <w:szCs w:val="32"/>
          <w:highlight w:val="none"/>
          <w:lang w:val="en-US" w:eastAsia="zh-CN"/>
        </w:rPr>
        <w:t>c</w:t>
      </w:r>
      <w:r>
        <w:rPr>
          <w:rFonts w:hint="eastAsia" w:ascii="仿宋_GB2312" w:hAnsi="仿宋_GB2312" w:eastAsia="仿宋_GB2312" w:cs="仿宋_GB2312"/>
          <w:b w:val="0"/>
          <w:bCs w:val="0"/>
          <w:color w:val="auto"/>
          <w:sz w:val="32"/>
          <w:szCs w:val="32"/>
          <w:highlight w:val="none"/>
          <w:lang w:eastAsia="zh-CN"/>
        </w:rPr>
        <w:t>)因法人或者非法人组织合并、分立等原因申请不动产转移登记且原权利人消灭的。</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三、办理依据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《中华人民共和国民法典》、</w:t>
      </w:r>
      <w:r>
        <w:rPr>
          <w:rFonts w:hint="eastAsia" w:ascii="仿宋_GB2312" w:hAnsi="仿宋_GB2312" w:eastAsia="仿宋_GB2312" w:cs="仿宋_GB2312"/>
          <w:b w:val="0"/>
          <w:bCs w:val="0"/>
          <w:color w:val="auto"/>
          <w:sz w:val="32"/>
          <w:szCs w:val="32"/>
          <w:highlight w:val="none"/>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（二）申请人身份证明。</w:t>
      </w:r>
      <w:r>
        <w:rPr>
          <w:rFonts w:hint="eastAsia" w:ascii="仿宋_GB2312" w:hAnsi="仿宋_GB2312" w:eastAsia="仿宋_GB2312" w:cs="仿宋_GB2312"/>
          <w:b w:val="0"/>
          <w:bCs w:val="0"/>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（四）发生</w:t>
      </w:r>
      <w:r>
        <w:rPr>
          <w:rFonts w:hint="eastAsia" w:ascii="仿宋_GB2312" w:hAnsi="仿宋_GB2312" w:eastAsia="仿宋_GB2312" w:cs="仿宋_GB2312"/>
          <w:b w:val="0"/>
          <w:bCs w:val="0"/>
          <w:color w:val="auto"/>
          <w:sz w:val="32"/>
          <w:szCs w:val="32"/>
          <w:highlight w:val="none"/>
          <w:lang w:val="en-US" w:eastAsia="zh-CN"/>
        </w:rPr>
        <w:t>转移</w:t>
      </w:r>
      <w:r>
        <w:rPr>
          <w:rFonts w:hint="eastAsia" w:ascii="仿宋_GB2312" w:hAnsi="仿宋_GB2312" w:eastAsia="仿宋_GB2312" w:cs="仿宋_GB2312"/>
          <w:b w:val="0"/>
          <w:bCs w:val="0"/>
          <w:color w:val="auto"/>
          <w:sz w:val="32"/>
          <w:szCs w:val="32"/>
          <w:highlight w:val="none"/>
          <w:lang w:eastAsia="zh-CN"/>
        </w:rPr>
        <w:t>的材料。(原件)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en-US" w:eastAsia="zh-CN"/>
        </w:rPr>
        <w:t>法定办结时限：30个工作日，</w:t>
      </w:r>
      <w:r>
        <w:rPr>
          <w:rFonts w:hint="eastAsia" w:ascii="仿宋_GB2312" w:hAnsi="仿宋_GB2312" w:eastAsia="仿宋_GB2312" w:cs="仿宋_GB2312"/>
          <w:b w:val="0"/>
          <w:bCs w:val="0"/>
          <w:color w:val="auto"/>
          <w:kern w:val="0"/>
          <w:sz w:val="32"/>
          <w:szCs w:val="32"/>
          <w:highlight w:val="none"/>
          <w:lang w:val="zh-CN" w:eastAsia="zh-CN"/>
        </w:rPr>
        <w:t>承诺办结时限：</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zh-CN" w:eastAsia="zh-CN"/>
        </w:rPr>
        <w:t>个工作日</w:t>
      </w:r>
      <w:r>
        <w:rPr>
          <w:rFonts w:hint="eastAsia" w:ascii="仿宋_GB2312" w:hAnsi="仿宋_GB2312" w:eastAsia="仿宋_GB2312" w:cs="仿宋_GB2312"/>
          <w:b w:val="0"/>
          <w:bCs w:val="0"/>
          <w:color w:val="auto"/>
          <w:kern w:val="0"/>
          <w:sz w:val="32"/>
          <w:szCs w:val="32"/>
          <w:highlight w:val="none"/>
          <w:lang w:val="en-US" w:eastAsia="zh-CN"/>
        </w:rPr>
        <w:t>,实体经济企业间转移1个小时办结</w:t>
      </w:r>
      <w:r>
        <w:rPr>
          <w:rFonts w:hint="eastAsia" w:ascii="仿宋_GB2312" w:hAnsi="仿宋_GB2312" w:eastAsia="仿宋_GB2312" w:cs="仿宋_GB2312"/>
          <w:b w:val="0"/>
          <w:bCs w:val="0"/>
          <w:color w:val="auto"/>
          <w:kern w:val="0"/>
          <w:sz w:val="32"/>
          <w:szCs w:val="32"/>
          <w:highlight w:val="none"/>
          <w:lang w:val="zh-CN" w:eastAsia="zh-CN"/>
        </w:rPr>
        <w:t>。</w:t>
      </w:r>
      <w:r>
        <w:rPr>
          <w:rFonts w:hint="eastAsia" w:ascii="仿宋_GB2312" w:hAnsi="仿宋_GB2312" w:eastAsia="仿宋_GB2312" w:cs="仿宋_GB2312"/>
          <w:b w:val="0"/>
          <w:bCs w:val="0"/>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lang w:eastAsia="zh-CN"/>
        </w:rPr>
        <w:t>住宅</w:t>
      </w:r>
      <w:r>
        <w:rPr>
          <w:rFonts w:hint="eastAsia" w:ascii="仿宋_GB2312" w:hAnsi="仿宋_GB2312" w:eastAsia="仿宋_GB2312" w:cs="仿宋_GB2312"/>
          <w:b w:val="0"/>
          <w:bCs w:val="0"/>
          <w:color w:val="auto"/>
          <w:kern w:val="0"/>
          <w:sz w:val="32"/>
          <w:szCs w:val="32"/>
          <w:highlight w:val="none"/>
          <w:lang w:val="en-US" w:eastAsia="zh-CN"/>
        </w:rPr>
        <w:t>80元/件，非住宅</w:t>
      </w:r>
      <w:r>
        <w:rPr>
          <w:rFonts w:hint="eastAsia" w:ascii="仿宋_GB2312" w:hAnsi="仿宋_GB2312" w:eastAsia="仿宋_GB2312" w:cs="仿宋_GB2312"/>
          <w:b w:val="0"/>
          <w:bCs w:val="0"/>
          <w:color w:val="auto"/>
          <w:kern w:val="0"/>
          <w:sz w:val="32"/>
          <w:szCs w:val="32"/>
          <w:highlight w:val="none"/>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6.用于提供社区养老、托育、家政服务的房产、土地不动产登记，免收登记费。</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（一）</w:t>
      </w:r>
      <w:r>
        <w:rPr>
          <w:rFonts w:hint="eastAsia" w:ascii="仿宋_GB2312" w:hAnsi="仿宋_GB2312" w:eastAsia="仿宋_GB2312" w:cs="仿宋_GB2312"/>
          <w:b w:val="0"/>
          <w:bCs w:val="0"/>
          <w:color w:val="auto"/>
          <w:kern w:val="0"/>
          <w:sz w:val="32"/>
          <w:szCs w:val="32"/>
          <w:highlight w:val="none"/>
        </w:rPr>
        <w:t>申请人需核验身份证明</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b w:val="0"/>
          <w:bCs w:val="0"/>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（四）</w:t>
      </w:r>
      <w:r>
        <w:rPr>
          <w:rFonts w:hint="eastAsia" w:ascii="仿宋_GB2312" w:hAnsi="仿宋_GB2312" w:eastAsia="仿宋_GB2312" w:cs="仿宋_GB2312"/>
          <w:b w:val="0"/>
          <w:bCs w:val="0"/>
          <w:color w:val="auto"/>
          <w:kern w:val="0"/>
          <w:sz w:val="32"/>
          <w:szCs w:val="32"/>
          <w:highlight w:val="none"/>
        </w:rPr>
        <w:t>国有建设用地使用权转移登记的材料包括</w:t>
      </w:r>
      <w:r>
        <w:rPr>
          <w:rFonts w:hint="eastAsia" w:ascii="仿宋_GB2312" w:hAnsi="仿宋_GB2312" w:eastAsia="仿宋_GB2312" w:cs="仿宋_GB2312"/>
          <w:b w:val="0"/>
          <w:bCs w:val="0"/>
          <w:color w:val="auto"/>
          <w:kern w:val="0"/>
          <w:sz w:val="32"/>
          <w:szCs w:val="32"/>
          <w:highlight w:val="none"/>
          <w:lang w:val="en-US" w:eastAsia="zh-CN"/>
        </w:rPr>
        <w:t>:a</w:t>
      </w:r>
      <w:r>
        <w:rPr>
          <w:rFonts w:hint="eastAsia" w:ascii="仿宋_GB2312" w:hAnsi="仿宋_GB2312" w:eastAsia="仿宋_GB2312" w:cs="仿宋_GB2312"/>
          <w:b w:val="0"/>
          <w:bCs w:val="0"/>
          <w:color w:val="auto"/>
          <w:kern w:val="0"/>
          <w:sz w:val="32"/>
          <w:szCs w:val="32"/>
          <w:highlight w:val="none"/>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 w:val="0"/>
          <w:bCs w:val="0"/>
          <w:color w:val="auto"/>
          <w:kern w:val="0"/>
          <w:sz w:val="32"/>
          <w:szCs w:val="32"/>
          <w:highlight w:val="none"/>
          <w:lang w:val="en-US" w:eastAsia="zh-CN"/>
        </w:rPr>
        <w:t>b</w:t>
      </w:r>
      <w:r>
        <w:rPr>
          <w:rFonts w:hint="eastAsia" w:ascii="仿宋_GB2312" w:hAnsi="仿宋_GB2312" w:eastAsia="仿宋_GB2312" w:cs="仿宋_GB2312"/>
          <w:b w:val="0"/>
          <w:bCs w:val="0"/>
          <w:color w:val="auto"/>
          <w:kern w:val="0"/>
          <w:sz w:val="32"/>
          <w:szCs w:val="32"/>
          <w:highlight w:val="none"/>
        </w:rPr>
        <w:t>)法人或者非法人组织合并、分立导致权属发生转移的，提交法人或者非法人组织合并、分立的材料；</w:t>
      </w:r>
      <w:r>
        <w:rPr>
          <w:rFonts w:hint="eastAsia" w:ascii="仿宋_GB2312" w:hAnsi="仿宋_GB2312" w:eastAsia="仿宋_GB2312" w:cs="仿宋_GB2312"/>
          <w:b w:val="0"/>
          <w:bCs w:val="0"/>
          <w:color w:val="auto"/>
          <w:kern w:val="0"/>
          <w:sz w:val="32"/>
          <w:szCs w:val="32"/>
          <w:highlight w:val="none"/>
          <w:lang w:val="en-US" w:eastAsia="zh-CN"/>
        </w:rPr>
        <w:t>c</w:t>
      </w:r>
      <w:r>
        <w:rPr>
          <w:rFonts w:hint="eastAsia" w:ascii="仿宋_GB2312" w:hAnsi="仿宋_GB2312" w:eastAsia="仿宋_GB2312" w:cs="仿宋_GB2312"/>
          <w:b w:val="0"/>
          <w:bCs w:val="0"/>
          <w:color w:val="auto"/>
          <w:kern w:val="0"/>
          <w:sz w:val="32"/>
          <w:szCs w:val="32"/>
          <w:highlight w:val="none"/>
        </w:rPr>
        <w:t>)共有人增加或者减少的，提交共有人增加或者减少的协议；共有份额变化的，提交份额转移协议；</w:t>
      </w:r>
      <w:r>
        <w:rPr>
          <w:rFonts w:hint="eastAsia" w:ascii="仿宋_GB2312" w:hAnsi="仿宋_GB2312" w:eastAsia="仿宋_GB2312" w:cs="仿宋_GB2312"/>
          <w:b w:val="0"/>
          <w:bCs w:val="0"/>
          <w:color w:val="auto"/>
          <w:kern w:val="0"/>
          <w:sz w:val="32"/>
          <w:szCs w:val="32"/>
          <w:highlight w:val="none"/>
          <w:lang w:val="en-US" w:eastAsia="zh-CN"/>
        </w:rPr>
        <w:t>d</w:t>
      </w:r>
      <w:r>
        <w:rPr>
          <w:rFonts w:hint="eastAsia" w:ascii="仿宋_GB2312" w:hAnsi="仿宋_GB2312" w:eastAsia="仿宋_GB2312" w:cs="仿宋_GB2312"/>
          <w:b w:val="0"/>
          <w:bCs w:val="0"/>
          <w:color w:val="auto"/>
          <w:kern w:val="0"/>
          <w:sz w:val="32"/>
          <w:szCs w:val="32"/>
          <w:highlight w:val="none"/>
        </w:rPr>
        <w:t>)因人民法院、仲裁机构的生效法律文书等导致权属发生变化的，提交人民法院、仲裁机构的生效法律文书等材料；</w:t>
      </w:r>
      <w:r>
        <w:rPr>
          <w:rFonts w:hint="eastAsia" w:ascii="仿宋_GB2312" w:hAnsi="仿宋_GB2312" w:eastAsia="仿宋_GB2312" w:cs="仿宋_GB2312"/>
          <w:b w:val="0"/>
          <w:bCs w:val="0"/>
          <w:color w:val="auto"/>
          <w:kern w:val="0"/>
          <w:sz w:val="32"/>
          <w:szCs w:val="32"/>
          <w:highlight w:val="none"/>
          <w:lang w:val="en-US" w:eastAsia="zh-CN"/>
        </w:rPr>
        <w:t>e</w:t>
      </w:r>
      <w:r>
        <w:rPr>
          <w:rFonts w:hint="eastAsia" w:ascii="仿宋_GB2312" w:hAnsi="仿宋_GB2312" w:eastAsia="仿宋_GB2312" w:cs="仿宋_GB2312"/>
          <w:b w:val="0"/>
          <w:bCs w:val="0"/>
          <w:color w:val="auto"/>
          <w:kern w:val="0"/>
          <w:sz w:val="32"/>
          <w:szCs w:val="32"/>
          <w:highlight w:val="none"/>
        </w:rPr>
        <w:t>)已经办理预告登记的，提交不动产登记证明；</w:t>
      </w:r>
      <w:r>
        <w:rPr>
          <w:rFonts w:hint="eastAsia" w:ascii="仿宋_GB2312" w:hAnsi="仿宋_GB2312" w:eastAsia="仿宋_GB2312" w:cs="仿宋_GB2312"/>
          <w:b w:val="0"/>
          <w:bCs w:val="0"/>
          <w:color w:val="auto"/>
          <w:kern w:val="0"/>
          <w:sz w:val="32"/>
          <w:szCs w:val="32"/>
          <w:highlight w:val="none"/>
          <w:lang w:val="en-US" w:eastAsia="zh-CN"/>
        </w:rPr>
        <w:t>f</w:t>
      </w:r>
      <w:r>
        <w:rPr>
          <w:rFonts w:hint="eastAsia" w:ascii="仿宋_GB2312" w:hAnsi="仿宋_GB2312" w:eastAsia="仿宋_GB2312" w:cs="仿宋_GB2312"/>
          <w:b w:val="0"/>
          <w:bCs w:val="0"/>
          <w:color w:val="auto"/>
          <w:kern w:val="0"/>
          <w:sz w:val="32"/>
          <w:szCs w:val="32"/>
          <w:highlight w:val="none"/>
        </w:rPr>
        <w:t>)划拨国有建设用地使用权及房屋所有权转移的，还应提交有批准权的人民政府的批准文件；</w:t>
      </w:r>
      <w:r>
        <w:rPr>
          <w:rFonts w:hint="eastAsia" w:ascii="仿宋_GB2312" w:hAnsi="仿宋_GB2312" w:eastAsia="仿宋_GB2312" w:cs="仿宋_GB2312"/>
          <w:b w:val="0"/>
          <w:bCs w:val="0"/>
          <w:color w:val="auto"/>
          <w:kern w:val="0"/>
          <w:sz w:val="32"/>
          <w:szCs w:val="32"/>
          <w:highlight w:val="none"/>
          <w:lang w:val="en-US" w:eastAsia="zh-CN"/>
        </w:rPr>
        <w:t>g</w:t>
      </w:r>
      <w:r>
        <w:rPr>
          <w:rFonts w:hint="eastAsia" w:ascii="仿宋_GB2312" w:hAnsi="仿宋_GB2312" w:eastAsia="仿宋_GB2312" w:cs="仿宋_GB2312"/>
          <w:b w:val="0"/>
          <w:bCs w:val="0"/>
          <w:color w:val="auto"/>
          <w:kern w:val="0"/>
          <w:sz w:val="32"/>
          <w:szCs w:val="32"/>
          <w:highlight w:val="none"/>
        </w:rPr>
        <w:t>)依法需要补交土地价款、纳税的，提交缴纳土地价款的凭证、完税结果材料；</w:t>
      </w:r>
      <w:r>
        <w:rPr>
          <w:rFonts w:hint="eastAsia" w:ascii="仿宋_GB2312" w:hAnsi="仿宋_GB2312" w:eastAsia="仿宋_GB2312" w:cs="仿宋_GB2312"/>
          <w:b w:val="0"/>
          <w:bCs w:val="0"/>
          <w:color w:val="auto"/>
          <w:kern w:val="0"/>
          <w:sz w:val="32"/>
          <w:szCs w:val="32"/>
          <w:highlight w:val="none"/>
          <w:lang w:val="en-US" w:eastAsia="zh-CN"/>
        </w:rPr>
        <w:t>h</w:t>
      </w:r>
      <w:r>
        <w:rPr>
          <w:rFonts w:hint="eastAsia" w:ascii="仿宋_GB2312" w:hAnsi="仿宋_GB2312" w:eastAsia="仿宋_GB2312" w:cs="仿宋_GB2312"/>
          <w:b w:val="0"/>
          <w:bCs w:val="0"/>
          <w:color w:val="auto"/>
          <w:kern w:val="0"/>
          <w:sz w:val="32"/>
          <w:szCs w:val="32"/>
          <w:highlight w:val="none"/>
        </w:rPr>
        <w:t>)因继承、受遗赠取得的，</w:t>
      </w:r>
      <w:r>
        <w:rPr>
          <w:rFonts w:hint="eastAsia" w:ascii="仿宋_GB2312" w:hAnsi="仿宋_GB2312" w:eastAsia="仿宋_GB2312" w:cs="仿宋_GB2312"/>
          <w:b w:val="0"/>
          <w:bCs w:val="0"/>
          <w:color w:val="auto"/>
          <w:kern w:val="0"/>
          <w:sz w:val="32"/>
          <w:szCs w:val="32"/>
          <w:highlight w:val="none"/>
          <w:lang w:val="en-US" w:eastAsia="zh-CN"/>
        </w:rPr>
        <w:t>申请人还需</w:t>
      </w:r>
      <w:r>
        <w:rPr>
          <w:rFonts w:hint="eastAsia" w:ascii="仿宋_GB2312" w:hAnsi="仿宋_GB2312" w:eastAsia="仿宋_GB2312" w:cs="仿宋_GB2312"/>
          <w:b w:val="0"/>
          <w:bCs w:val="0"/>
          <w:color w:val="auto"/>
          <w:kern w:val="0"/>
          <w:sz w:val="32"/>
          <w:szCs w:val="32"/>
          <w:highlight w:val="none"/>
        </w:rPr>
        <w:t>提交</w:t>
      </w:r>
      <w:r>
        <w:rPr>
          <w:rFonts w:hint="eastAsia" w:ascii="仿宋_GB2312" w:hAnsi="仿宋_GB2312" w:eastAsia="仿宋_GB2312" w:cs="仿宋_GB2312"/>
          <w:b w:val="0"/>
          <w:bCs w:val="0"/>
          <w:color w:val="auto"/>
          <w:kern w:val="0"/>
          <w:sz w:val="32"/>
          <w:szCs w:val="32"/>
          <w:highlight w:val="none"/>
          <w:lang w:val="en-US" w:eastAsia="zh-CN"/>
        </w:rPr>
        <w:t>下列</w:t>
      </w:r>
      <w:r>
        <w:rPr>
          <w:rFonts w:hint="eastAsia" w:ascii="仿宋_GB2312" w:hAnsi="仿宋_GB2312" w:eastAsia="仿宋_GB2312" w:cs="仿宋_GB2312"/>
          <w:b w:val="0"/>
          <w:bCs w:val="0"/>
          <w:color w:val="auto"/>
          <w:kern w:val="0"/>
          <w:sz w:val="32"/>
          <w:szCs w:val="32"/>
          <w:highlight w:val="none"/>
        </w:rPr>
        <w:t>材料</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（五）继承需注意事项：a)</w:t>
      </w:r>
      <w:r>
        <w:rPr>
          <w:rFonts w:hint="eastAsia" w:ascii="仿宋_GB2312" w:hAnsi="仿宋_GB2312" w:eastAsia="仿宋_GB2312" w:cs="仿宋_GB2312"/>
          <w:b w:val="0"/>
          <w:bCs w:val="0"/>
          <w:color w:val="auto"/>
          <w:kern w:val="0"/>
          <w:sz w:val="32"/>
          <w:szCs w:val="32"/>
          <w:highlight w:val="none"/>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 w:val="0"/>
          <w:bCs w:val="0"/>
          <w:color w:val="auto"/>
          <w:kern w:val="0"/>
          <w:sz w:val="32"/>
          <w:szCs w:val="32"/>
          <w:highlight w:val="none"/>
          <w:lang w:val="en-US" w:eastAsia="zh-CN"/>
        </w:rPr>
        <w:t>b)</w:t>
      </w:r>
      <w:r>
        <w:rPr>
          <w:rFonts w:hint="eastAsia" w:ascii="仿宋_GB2312" w:hAnsi="仿宋_GB2312" w:eastAsia="仿宋_GB2312" w:cs="仿宋_GB2312"/>
          <w:b w:val="0"/>
          <w:bCs w:val="0"/>
          <w:color w:val="auto"/>
          <w:kern w:val="0"/>
          <w:sz w:val="32"/>
          <w:szCs w:val="32"/>
          <w:highlight w:val="none"/>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 w:val="0"/>
          <w:bCs w:val="0"/>
          <w:color w:val="auto"/>
          <w:kern w:val="0"/>
          <w:sz w:val="32"/>
          <w:szCs w:val="32"/>
          <w:highlight w:val="none"/>
          <w:lang w:val="en-US" w:eastAsia="zh-CN"/>
        </w:rPr>
        <w:t>c）</w:t>
      </w:r>
      <w:r>
        <w:rPr>
          <w:rFonts w:hint="eastAsia" w:ascii="仿宋_GB2312" w:hAnsi="仿宋_GB2312" w:eastAsia="仿宋_GB2312" w:cs="仿宋_GB2312"/>
          <w:b w:val="0"/>
          <w:bCs w:val="0"/>
          <w:color w:val="auto"/>
          <w:kern w:val="0"/>
          <w:sz w:val="32"/>
          <w:szCs w:val="32"/>
          <w:highlight w:val="none"/>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 w:val="0"/>
          <w:bCs w:val="0"/>
          <w:color w:val="auto"/>
          <w:kern w:val="0"/>
          <w:sz w:val="32"/>
          <w:szCs w:val="32"/>
          <w:highlight w:val="none"/>
          <w:lang w:val="en-US" w:eastAsia="zh-CN"/>
        </w:rPr>
        <w:t>d）</w:t>
      </w:r>
      <w:r>
        <w:rPr>
          <w:rFonts w:hint="eastAsia" w:ascii="仿宋_GB2312" w:hAnsi="仿宋_GB2312" w:eastAsia="仿宋_GB2312" w:cs="仿宋_GB2312"/>
          <w:b w:val="0"/>
          <w:bCs w:val="0"/>
          <w:color w:val="auto"/>
          <w:kern w:val="0"/>
          <w:sz w:val="32"/>
          <w:szCs w:val="32"/>
          <w:highlight w:val="none"/>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 w:val="0"/>
          <w:bCs w:val="0"/>
          <w:color w:val="auto"/>
          <w:kern w:val="0"/>
          <w:sz w:val="32"/>
          <w:szCs w:val="32"/>
          <w:highlight w:val="none"/>
          <w:lang w:val="en-US" w:eastAsia="zh-CN"/>
        </w:rPr>
        <w:t>e）</w:t>
      </w:r>
      <w:r>
        <w:rPr>
          <w:rFonts w:hint="eastAsia" w:ascii="仿宋_GB2312" w:hAnsi="仿宋_GB2312" w:eastAsia="仿宋_GB2312" w:cs="仿宋_GB2312"/>
          <w:b w:val="0"/>
          <w:bCs w:val="0"/>
          <w:color w:val="auto"/>
          <w:kern w:val="0"/>
          <w:sz w:val="32"/>
          <w:szCs w:val="32"/>
          <w:highlight w:val="none"/>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 w:val="0"/>
          <w:bCs w:val="0"/>
          <w:color w:val="auto"/>
          <w:kern w:val="0"/>
          <w:sz w:val="32"/>
          <w:szCs w:val="32"/>
          <w:highlight w:val="none"/>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地址：</w:t>
      </w:r>
      <w:r>
        <w:rPr>
          <w:rFonts w:hint="eastAsia" w:ascii="仿宋_GB2312" w:hAnsi="仿宋_GB2312" w:eastAsia="仿宋_GB2312" w:cs="仿宋_GB2312"/>
          <w:b w:val="0"/>
          <w:bCs/>
          <w:color w:val="auto"/>
          <w:kern w:val="0"/>
          <w:sz w:val="32"/>
          <w:szCs w:val="32"/>
          <w:highlight w:val="none"/>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对外服务时间：</w:t>
      </w:r>
      <w:r>
        <w:rPr>
          <w:rFonts w:hint="eastAsia" w:ascii="仿宋_GB2312" w:hAnsi="仿宋_GB2312" w:eastAsia="仿宋_GB2312" w:cs="仿宋_GB2312"/>
          <w:b w:val="0"/>
          <w:bCs/>
          <w:color w:val="auto"/>
          <w:kern w:val="0"/>
          <w:sz w:val="32"/>
          <w:szCs w:val="32"/>
          <w:highlight w:val="none"/>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咨询电话：</w:t>
      </w:r>
      <w:r>
        <w:rPr>
          <w:rFonts w:hint="eastAsia" w:ascii="仿宋_GB2312" w:hAnsi="仿宋_GB2312" w:eastAsia="仿宋_GB2312" w:cs="仿宋_GB2312"/>
          <w:b w:val="0"/>
          <w:bCs/>
          <w:color w:val="auto"/>
          <w:kern w:val="0"/>
          <w:sz w:val="32"/>
          <w:szCs w:val="32"/>
          <w:highlight w:val="none"/>
          <w:lang w:eastAsia="zh-CN"/>
        </w:rPr>
        <w:t>077</w:t>
      </w:r>
      <w:r>
        <w:rPr>
          <w:rFonts w:hint="eastAsia" w:ascii="仿宋_GB2312" w:hAnsi="仿宋_GB2312" w:eastAsia="仿宋_GB2312" w:cs="仿宋_GB2312"/>
          <w:bCs/>
          <w:color w:val="auto"/>
          <w:kern w:val="0"/>
          <w:sz w:val="32"/>
          <w:szCs w:val="32"/>
          <w:highlight w:val="none"/>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B25FAA"/>
    <w:rsid w:val="1E3D5D47"/>
    <w:rsid w:val="207B2B57"/>
    <w:rsid w:val="20855235"/>
    <w:rsid w:val="20DB1848"/>
    <w:rsid w:val="20FD356C"/>
    <w:rsid w:val="294A6192"/>
    <w:rsid w:val="2DFF51EF"/>
    <w:rsid w:val="2EE43FBD"/>
    <w:rsid w:val="325356E2"/>
    <w:rsid w:val="33023899"/>
    <w:rsid w:val="33092244"/>
    <w:rsid w:val="351915EB"/>
    <w:rsid w:val="39991390"/>
    <w:rsid w:val="3A0B4AF4"/>
    <w:rsid w:val="3A7206CF"/>
    <w:rsid w:val="3DAD4B25"/>
    <w:rsid w:val="3F512FA9"/>
    <w:rsid w:val="402266F3"/>
    <w:rsid w:val="413C79DE"/>
    <w:rsid w:val="432B082D"/>
    <w:rsid w:val="43547FC2"/>
    <w:rsid w:val="4A17094B"/>
    <w:rsid w:val="4B1355B6"/>
    <w:rsid w:val="513079A6"/>
    <w:rsid w:val="544D7D8B"/>
    <w:rsid w:val="55E4434A"/>
    <w:rsid w:val="578372E8"/>
    <w:rsid w:val="58466368"/>
    <w:rsid w:val="58AC4272"/>
    <w:rsid w:val="5A925F5B"/>
    <w:rsid w:val="5ACE166D"/>
    <w:rsid w:val="5BC07095"/>
    <w:rsid w:val="5F622211"/>
    <w:rsid w:val="64216B3E"/>
    <w:rsid w:val="66A01E6F"/>
    <w:rsid w:val="67024A05"/>
    <w:rsid w:val="67A755AC"/>
    <w:rsid w:val="6902222B"/>
    <w:rsid w:val="6CBE3CC9"/>
    <w:rsid w:val="6D7777CF"/>
    <w:rsid w:val="6E5838BA"/>
    <w:rsid w:val="70AA2EA5"/>
    <w:rsid w:val="710508AD"/>
    <w:rsid w:val="71070BFB"/>
    <w:rsid w:val="7ABC16DD"/>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3822</Words>
  <Characters>3908</Characters>
  <Lines>0</Lines>
  <Paragraphs>0</Paragraphs>
  <TotalTime>0</TotalTime>
  <ScaleCrop>false</ScaleCrop>
  <LinksUpToDate>false</LinksUpToDate>
  <CharactersWithSpaces>3908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465C4CA393E447AFBB2E68F924907303_13</vt:lpwstr>
  </property>
  <property fmtid="{D5CDD505-2E9C-101B-9397-08002B2CF9AE}" pid="4" name="KSOTemplateDocerSaveRecord">
    <vt:lpwstr>eyJoZGlkIjoiNDJmZjk3OTY0NWZkYjgxMWMxNjhmNDQ0MGQyNTkwMjYiLCJ1c2VySWQiOiI3Njc3MDAxNjEifQ==</vt:lpwstr>
  </property>
</Properties>
</file>