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rPr>
          <w:rFonts w:hint="default" w:eastAsiaTheme="minorEastAsia"/>
          <w:lang w:val="en-US" w:eastAsia="zh-CN"/>
        </w:rPr>
      </w:pPr>
    </w:p>
    <w:p>
      <w:pPr>
        <w:widowControl/>
        <w:spacing w:line="560" w:lineRule="exact"/>
        <w:jc w:val="center"/>
        <w:rPr>
          <w:rFonts w:hint="eastAsia" w:ascii="黑体" w:hAnsi="黑体" w:eastAsia="黑体" w:cs="黑体"/>
          <w:sz w:val="44"/>
          <w:lang w:val="zh-CN"/>
        </w:rPr>
      </w:pPr>
      <w:r>
        <w:rPr>
          <w:rFonts w:hint="eastAsia" w:ascii="黑体" w:hAnsi="黑体" w:eastAsia="黑体" w:cs="黑体"/>
          <w:color w:val="auto"/>
          <w:sz w:val="44"/>
          <w:szCs w:val="44"/>
          <w:lang w:val="en-US" w:eastAsia="zh-CN"/>
        </w:rPr>
        <w:t>防城港市自然资源局</w:t>
      </w:r>
      <w:r>
        <w:rPr>
          <w:rFonts w:hint="eastAsia" w:ascii="黑体" w:hAnsi="黑体" w:eastAsia="黑体" w:cs="黑体"/>
          <w:sz w:val="44"/>
          <w:lang w:val="zh-CN"/>
        </w:rPr>
        <w:t>关于优化规划管控要求促进住宅品质提升的若干措施</w:t>
      </w:r>
    </w:p>
    <w:p>
      <w:pPr>
        <w:widowControl/>
        <w:spacing w:line="560" w:lineRule="exact"/>
        <w:jc w:val="center"/>
        <w:rPr>
          <w:rFonts w:hint="eastAsia" w:ascii="仿宋_GB2312" w:hAnsi="仿宋_GB2312" w:eastAsia="仿宋_GB2312" w:cs="仿宋_GB2312"/>
          <w:color w:val="BEBEBE"/>
          <w:sz w:val="36"/>
          <w:lang w:val="en-US" w:eastAsia="zh-CN"/>
        </w:rPr>
      </w:pPr>
      <w:r>
        <w:rPr>
          <w:rFonts w:hint="eastAsia" w:ascii="仿宋_GB2312" w:hAnsi="仿宋_GB2312" w:eastAsia="仿宋_GB2312" w:cs="仿宋_GB2312"/>
          <w:color w:val="BEBEBE"/>
          <w:sz w:val="36"/>
          <w:lang w:val="zh-CN"/>
        </w:rPr>
        <w:t xml:space="preserve"> </w:t>
      </w:r>
      <w:r>
        <w:rPr>
          <w:rFonts w:hint="eastAsia" w:ascii="仿宋_GB2312" w:hAnsi="仿宋_GB2312" w:eastAsia="仿宋_GB2312" w:cs="仿宋_GB2312"/>
          <w:color w:val="auto"/>
          <w:sz w:val="36"/>
          <w:lang w:val="en-US" w:eastAsia="zh-CN"/>
        </w:rPr>
        <w:t>(征求意见稿）</w:t>
      </w:r>
    </w:p>
    <w:p>
      <w:pPr>
        <w:widowControl/>
        <w:spacing w:line="560" w:lineRule="exact"/>
        <w:jc w:val="center"/>
        <w:rPr>
          <w:rFonts w:hint="eastAsia" w:ascii="方正小标宋简体" w:hAnsi="华文中宋" w:eastAsia="方正小标宋简体"/>
          <w:color w:val="BEBEBE"/>
          <w:sz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为充分发挥规划引领调控作用，提振我市房地产市场信心，激发市场主体活力，</w:t>
      </w:r>
      <w:r>
        <w:rPr>
          <w:rFonts w:hint="eastAsia" w:ascii="仿宋_GB2312" w:hAnsi="仿宋_GB2312" w:eastAsia="仿宋_GB2312" w:cs="仿宋_GB2312"/>
          <w:sz w:val="32"/>
          <w:szCs w:val="32"/>
        </w:rPr>
        <w:t>丰富我市住宅产品体系，打造高品质住宅，</w:t>
      </w:r>
      <w:r>
        <w:rPr>
          <w:rFonts w:hint="eastAsia" w:ascii="仿宋_GB2312" w:hAnsi="仿宋_GB2312" w:eastAsia="仿宋_GB2312" w:cs="仿宋_GB2312"/>
          <w:sz w:val="32"/>
          <w:szCs w:val="32"/>
          <w:lang w:eastAsia="zh-CN"/>
        </w:rPr>
        <w:t>结合我市实际，</w:t>
      </w:r>
      <w:r>
        <w:rPr>
          <w:rFonts w:hint="eastAsia" w:ascii="仿宋_GB2312" w:hAnsi="仿宋_GB2312" w:eastAsia="仿宋_GB2312" w:cs="仿宋_GB2312"/>
          <w:sz w:val="32"/>
          <w:szCs w:val="32"/>
        </w:rPr>
        <w:t>特制定本措施。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优</w:t>
      </w:r>
      <w:r>
        <w:rPr>
          <w:rFonts w:hint="eastAsia" w:ascii="黑体" w:hAnsi="黑体" w:eastAsia="黑体" w:cs="黑体"/>
          <w:b w:val="0"/>
          <w:bCs w:val="0"/>
          <w:color w:val="auto"/>
          <w:sz w:val="32"/>
          <w:szCs w:val="32"/>
          <w:lang w:eastAsia="zh-CN"/>
        </w:rPr>
        <w:t>化住宅房屋计</w:t>
      </w:r>
      <w:r>
        <w:rPr>
          <w:rFonts w:hint="eastAsia" w:ascii="黑体" w:hAnsi="黑体" w:eastAsia="黑体" w:cs="黑体"/>
          <w:b w:val="0"/>
          <w:bCs w:val="0"/>
          <w:sz w:val="32"/>
          <w:szCs w:val="32"/>
          <w:lang w:eastAsia="zh-CN"/>
        </w:rPr>
        <w:t>容建筑面积计算规定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sz w:val="32"/>
          <w:szCs w:val="32"/>
          <w:lang w:val="en-US" w:eastAsia="zh-CN"/>
        </w:rPr>
        <w:t>建筑物</w:t>
      </w:r>
      <w:r>
        <w:rPr>
          <w:rFonts w:hint="eastAsia" w:ascii="仿宋_GB2312" w:hAnsi="仿宋_GB2312" w:eastAsia="仿宋_GB2312" w:cs="仿宋_GB2312"/>
          <w:sz w:val="32"/>
          <w:szCs w:val="32"/>
          <w:lang w:val="en-US" w:eastAsia="zh-CN"/>
        </w:rPr>
        <w:t>屋顶层独立设置的梯屋、电梯机房、水箱间、人防报警间、通信基站机房等</w:t>
      </w:r>
      <w:r>
        <w:rPr>
          <w:rFonts w:hint="eastAsia" w:ascii="仿宋_GB2312" w:hAnsi="仿宋_GB2312" w:eastAsia="仿宋_GB2312" w:cs="仿宋_GB2312"/>
          <w:sz w:val="32"/>
          <w:szCs w:val="32"/>
        </w:rPr>
        <w:t>不计入项目总计容建筑面积。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既有住宅为满足安全疏散、改善垂直交通等而增设必要的消防楼梯、连廊、无障碍设施、电梯等，其建筑面积不计入项目总计容建筑面积。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新增居住用地，土地出让合同约定或相关政策要求建成后无偿移交政府的的配套设施，其建筑面积不计入项目总计容建筑面积。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城市景观</w:t>
      </w:r>
      <w:r>
        <w:rPr>
          <w:rFonts w:hint="eastAsia" w:ascii="仿宋_GB2312" w:hAnsi="仿宋_GB2312" w:eastAsia="仿宋_GB2312" w:cs="仿宋_GB2312"/>
          <w:sz w:val="32"/>
          <w:szCs w:val="32"/>
        </w:rPr>
        <w:t>设计需要，采取玻璃封闭处理的阳台，按阳台板水平投影面积的1/2计算计容建筑面积。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优化住宅建筑凸（飘）窗的设计要求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对《防城港城市规划管理技术规定》（2024版）有关凸（飘）窗的规定进行优化。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凸（</w:t>
      </w:r>
      <w:r>
        <w:rPr>
          <w:rFonts w:hint="eastAsia" w:ascii="仿宋_GB2312" w:hAnsi="仿宋_GB2312" w:eastAsia="仿宋_GB2312" w:cs="仿宋_GB2312"/>
          <w:sz w:val="32"/>
          <w:szCs w:val="32"/>
        </w:rPr>
        <w:t>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窗应至少两面临空</w:t>
      </w:r>
      <w:r>
        <w:rPr>
          <w:rFonts w:hint="eastAsia" w:ascii="仿宋_GB2312" w:hAnsi="仿宋_GB2312" w:eastAsia="仿宋_GB2312" w:cs="仿宋_GB2312"/>
          <w:sz w:val="32"/>
          <w:szCs w:val="32"/>
          <w:lang w:eastAsia="zh-CN"/>
        </w:rPr>
        <w:t>，凸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eastAsia="zh-CN"/>
        </w:rPr>
        <w:t>窗宽度可与房间开间同宽，同时相邻需满足消防要求。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在满足防火要求的前提下，窗台与室内楼地面高差在 0.45 米以下且结构净高在 2.1米及以上的凸（飘）窗，应 按外墙结构外围线和其围护结构外围水平投影面积计算1/2 面积（附图一）。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-41275</wp:posOffset>
            </wp:positionH>
            <wp:positionV relativeFrom="paragraph">
              <wp:posOffset>353695</wp:posOffset>
            </wp:positionV>
            <wp:extent cx="5270500" cy="3991610"/>
            <wp:effectExtent l="0" t="0" r="6350" b="8890"/>
            <wp:wrapSquare wrapText="bothSides"/>
            <wp:docPr id="3" name="图片 3" descr="{9A2FD1BC-199E-4135-87B5-65F5A1B368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2FD1BC-199E-4135-87B5-65F5A1B368F5}"/>
                    <pic:cNvPicPr>
                      <a:picLocks noChangeAspect="1"/>
                    </pic:cNvPicPr>
                  </pic:nvPicPr>
                  <pic:blipFill>
                    <a:blip r:embed="rId5"/>
                    <a:stretch>
                      <a:fillRect/>
                    </a:stretch>
                  </pic:blipFill>
                  <pic:spPr>
                    <a:xfrm>
                      <a:off x="0" y="0"/>
                      <a:ext cx="5270500" cy="3991610"/>
                    </a:xfrm>
                    <a:prstGeom prst="rect">
                      <a:avLst/>
                    </a:prstGeom>
                  </pic:spPr>
                </pic:pic>
              </a:graphicData>
            </a:graphic>
          </wp:anchor>
        </w:draw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附图一</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在满足防火要求的前提下，下列凸（飘）窗不应计算建筑面积：窗台与室内楼地面高差在 0.45 米以下且结构净 高在 2.1 米以下的凸（飘）窗，窗台与室内地面高差在 0.45 米及以上的凸（飘）窗（附图二、三）。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drawing>
          <wp:anchor distT="0" distB="0" distL="114300" distR="114300" simplePos="0" relativeHeight="251661312" behindDoc="0" locked="0" layoutInCell="1" allowOverlap="1">
            <wp:simplePos x="0" y="0"/>
            <wp:positionH relativeFrom="column">
              <wp:posOffset>121920</wp:posOffset>
            </wp:positionH>
            <wp:positionV relativeFrom="paragraph">
              <wp:posOffset>11430</wp:posOffset>
            </wp:positionV>
            <wp:extent cx="5262880" cy="2298700"/>
            <wp:effectExtent l="0" t="0" r="13970" b="6350"/>
            <wp:wrapSquare wrapText="bothSides"/>
            <wp:docPr id="4" name="图片 4" descr="{50B6700B-AA27-4EB8-B5A3-C7E327F7B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B6700B-AA27-4EB8-B5A3-C7E327F7B613}"/>
                    <pic:cNvPicPr>
                      <a:picLocks noChangeAspect="1"/>
                    </pic:cNvPicPr>
                  </pic:nvPicPr>
                  <pic:blipFill>
                    <a:blip r:embed="rId6"/>
                    <a:stretch>
                      <a:fillRect/>
                    </a:stretch>
                  </pic:blipFill>
                  <pic:spPr>
                    <a:xfrm>
                      <a:off x="0" y="0"/>
                      <a:ext cx="5262880" cy="2298700"/>
                    </a:xfrm>
                    <a:prstGeom prst="rect">
                      <a:avLst/>
                    </a:prstGeom>
                  </pic:spPr>
                </pic:pic>
              </a:graphicData>
            </a:graphic>
          </wp:anchor>
        </w:draw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附图二                    附图三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试行空中花园</w:t>
      </w:r>
      <w:r>
        <w:rPr>
          <w:rFonts w:hint="eastAsia" w:ascii="黑体" w:hAnsi="黑体" w:eastAsia="黑体" w:cs="黑体"/>
          <w:b w:val="0"/>
          <w:bCs w:val="0"/>
          <w:sz w:val="32"/>
          <w:szCs w:val="32"/>
          <w:lang w:eastAsia="zh-CN"/>
        </w:rPr>
        <w:t>“第四代”</w:t>
      </w:r>
      <w:r>
        <w:rPr>
          <w:rFonts w:hint="eastAsia" w:ascii="黑体" w:hAnsi="黑体" w:eastAsia="黑体" w:cs="黑体"/>
          <w:b w:val="0"/>
          <w:bCs w:val="0"/>
          <w:sz w:val="32"/>
          <w:szCs w:val="32"/>
        </w:rPr>
        <w:t>住宅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将绿色生态理念注入城市建筑实践，鼓励利用挑高、错层、外挑式的大阳台集中打造户内空中花园，增加居家活动空间多样性，丰富城市建筑景观，推动住宅产品更新迭代。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须为建筑高度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27米的高层住宅项目。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住宅建筑套型建筑面积应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120平方米。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住宅建筑层高应≥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3.0米</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lang w:val="en-US" w:eastAsia="zh-CN"/>
        </w:rPr>
        <w:t>3.6米</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空中花园住宅的首层住房之下楼层除必要的楼电梯间、门厅和消防控制室外，应整体架空，架空层层高应≥3.6米，作为休闲、健身、娱乐、绿化等公共空间使用。（附图</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-281940</wp:posOffset>
            </wp:positionH>
            <wp:positionV relativeFrom="paragraph">
              <wp:posOffset>287020</wp:posOffset>
            </wp:positionV>
            <wp:extent cx="6219825" cy="1856105"/>
            <wp:effectExtent l="0" t="0" r="9525" b="1079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219825" cy="1856105"/>
                    </a:xfrm>
                    <a:prstGeom prst="rect">
                      <a:avLst/>
                    </a:prstGeom>
                    <a:noFill/>
                    <a:ln>
                      <a:noFill/>
                    </a:ln>
                    <a:effectLst/>
                  </pic:spPr>
                </pic:pic>
              </a:graphicData>
            </a:graphic>
          </wp:anchor>
        </w:drawing>
      </w:r>
      <w:r>
        <w:rPr>
          <w:rFonts w:hint="eastAsia" w:ascii="仿宋_GB2312" w:hAnsi="仿宋_GB2312" w:eastAsia="仿宋_GB2312" w:cs="仿宋_GB2312"/>
          <w:sz w:val="32"/>
          <w:szCs w:val="32"/>
        </w:rPr>
        <w:t>附图</w:t>
      </w:r>
      <w:r>
        <w:rPr>
          <w:rFonts w:hint="eastAsia" w:ascii="仿宋_GB2312" w:hAnsi="仿宋_GB2312" w:eastAsia="仿宋_GB2312" w:cs="仿宋_GB2312"/>
          <w:sz w:val="32"/>
          <w:szCs w:val="32"/>
          <w:lang w:eastAsia="zh-CN"/>
        </w:rPr>
        <w:t>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（二）户内空中花园设计应同时满足以下条件：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空中花园空间高度应不小于两个自然层高度。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宅阳台及户内空中花园水平投影面积应≤住宅套型建筑面积的40%。其中，户内应至少设置一个符合日常生活起居需求的普通阳台，其水平投影面积不小于套型建筑面积的5%；户内空中花园水平投影面积不小于套型建筑面积的30%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户内空中花园应</w:t>
      </w:r>
      <w:r>
        <w:rPr>
          <w:rFonts w:hint="eastAsia" w:ascii="仿宋_GB2312" w:hAnsi="仿宋_GB2312" w:eastAsia="仿宋_GB2312" w:cs="仿宋_GB2312"/>
          <w:sz w:val="32"/>
          <w:szCs w:val="32"/>
          <w:lang w:eastAsia="zh-CN"/>
        </w:rPr>
        <w:t>至少两</w:t>
      </w:r>
      <w:r>
        <w:rPr>
          <w:rFonts w:hint="eastAsia" w:ascii="仿宋_GB2312" w:hAnsi="仿宋_GB2312" w:eastAsia="仿宋_GB2312" w:cs="仿宋_GB2312"/>
          <w:sz w:val="32"/>
          <w:szCs w:val="32"/>
        </w:rPr>
        <w:t>面临空，不设结构柱、装饰柱、剪力墙等，不可外接连梁、板、雨篷等构件。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w:t>
      </w:r>
      <w:r>
        <w:rPr>
          <w:rFonts w:hint="eastAsia" w:ascii="仿宋_GB2312" w:hAnsi="仿宋_GB2312" w:eastAsia="仿宋_GB2312" w:cs="仿宋_GB2312"/>
          <w:sz w:val="32"/>
          <w:szCs w:val="32"/>
          <w:u w:val="none"/>
        </w:rPr>
        <w:t>园出挑宽度应≥2.4</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u w:val="none"/>
        </w:rPr>
        <w:t>且≤6米。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空中花园栏杆安全高度应结合绿化具体布置设计，栏杆应采用通透栏杆或透明栏板，向外展示绿化效果。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空中花园上方为邻户外窗时，不应设置飘窗，且应设置防坠落和视</w:t>
      </w:r>
      <w:r>
        <w:rPr>
          <w:rFonts w:hint="eastAsia" w:ascii="仿宋_GB2312" w:hAnsi="仿宋_GB2312" w:eastAsia="仿宋_GB2312" w:cs="仿宋_GB2312"/>
          <w:color w:val="auto"/>
          <w:sz w:val="32"/>
          <w:szCs w:val="32"/>
        </w:rPr>
        <w:t>线遮蔽措施，考虑整体美观效果，不可采用混凝土板。空中花</w:t>
      </w:r>
      <w:r>
        <w:rPr>
          <w:rFonts w:hint="eastAsia" w:ascii="仿宋_GB2312" w:hAnsi="仿宋_GB2312" w:eastAsia="仿宋_GB2312" w:cs="仿宋_GB2312"/>
          <w:sz w:val="32"/>
          <w:szCs w:val="32"/>
        </w:rPr>
        <w:t>园下方有出入口或人员活动的区域应设置安全防护措施。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户内空中花园应沿栏杆内侧布置的种植槽，种植槽净宽度应≥阳台进深的30%且≥0.8米。种植槽可下凹或上翻，覆土厚度≥0.5米（不含防水层）。绿化面积≥户内空中花园面积50%。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种植形式宜高、中、低搭配，不应只选用高度＜0.45米的地被植物，适当选种高于栏杆的乔木和灌木；同时出于安全考虑，不宜种植高大乔木与落果品种，不应选用对阳台结构造成破坏的品种。提倡采用绿植墙、悬挂、吊篮等多种垂直、立体绿化形式，增强外观效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户内空中花园应设给水和排水系统，排水系统应接入</w:t>
      </w:r>
      <w:r>
        <w:rPr>
          <w:rFonts w:hint="eastAsia" w:ascii="仿宋_GB2312" w:hAnsi="仿宋_GB2312" w:eastAsia="仿宋_GB2312" w:cs="仿宋_GB2312"/>
          <w:color w:val="auto"/>
          <w:sz w:val="32"/>
          <w:szCs w:val="32"/>
          <w:u w:val="none"/>
        </w:rPr>
        <w:t>污水排水系统。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kern w:val="0"/>
          <w:sz w:val="32"/>
          <w:szCs w:val="32"/>
          <w:u w:val="none"/>
          <w:lang w:val="en-US" w:eastAsia="zh-CN" w:bidi="ar"/>
        </w:rPr>
        <w:t>户内空中</w:t>
      </w:r>
      <w:r>
        <w:rPr>
          <w:rFonts w:hint="eastAsia" w:ascii="仿宋_GB2312" w:hAnsi="仿宋_GB2312" w:eastAsia="仿宋_GB2312" w:cs="仿宋_GB2312"/>
          <w:color w:val="auto"/>
          <w:sz w:val="32"/>
          <w:szCs w:val="32"/>
          <w:u w:val="none"/>
        </w:rPr>
        <w:t>花园</w:t>
      </w:r>
      <w:r>
        <w:rPr>
          <w:rFonts w:hint="eastAsia" w:ascii="仿宋_GB2312" w:hAnsi="仿宋_GB2312" w:eastAsia="仿宋_GB2312" w:cs="仿宋_GB2312"/>
          <w:color w:val="auto"/>
          <w:kern w:val="0"/>
          <w:sz w:val="32"/>
          <w:szCs w:val="32"/>
          <w:u w:val="none"/>
          <w:lang w:val="en-US" w:eastAsia="zh-CN" w:bidi="ar"/>
        </w:rPr>
        <w:t>绿化面积不计入绿地率。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户内空中花园建筑面积不计入容积率和产权登记面积，不满足要求的部分按规定计入容积率。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空中花园住宅建筑建筑间距的计算边界可按户内空中花园外挑尺寸的二分之一范围线进行控制。退用地红线按空中花园建筑最外边缘控制。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日照分析时应建模，当空中花园住宅建筑为遮挡物时，日照计算的遮挡面应为户属空中花园的最外边缘；当空中花园住宅建筑为被遮挡物时，日照计算的被遮挡面应为建筑主体外边缘。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空中花园住宅建筑面宽控制只计算到外墙面。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（四）保障措施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空中花园的景观绿化与建筑主体同步设计、同步施工、同步验收，作为建筑附</w:t>
      </w:r>
      <w:r>
        <w:rPr>
          <w:rFonts w:hint="eastAsia" w:ascii="仿宋_GB2312" w:hAnsi="仿宋_GB2312" w:eastAsia="仿宋_GB2312" w:cs="仿宋_GB2312"/>
          <w:color w:val="auto"/>
          <w:sz w:val="32"/>
          <w:szCs w:val="32"/>
          <w:u w:val="none"/>
        </w:rPr>
        <w:t>属绿化工程纳入建筑主体的审批流程进行统一管理，</w:t>
      </w:r>
      <w:r>
        <w:rPr>
          <w:rFonts w:hint="eastAsia" w:ascii="仿宋_GB2312" w:hAnsi="仿宋_GB2312" w:eastAsia="仿宋_GB2312" w:cs="仿宋_GB2312"/>
          <w:color w:val="auto"/>
          <w:sz w:val="32"/>
          <w:szCs w:val="32"/>
          <w:u w:val="none"/>
          <w:lang w:val="en-US" w:eastAsia="zh-CN"/>
        </w:rPr>
        <w:t>项目工程建设许可各阶段分别进行审查。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2.申请建设空中花园住宅项目的建设单位，要按照要求完成建设（包括</w:t>
      </w:r>
      <w:r>
        <w:rPr>
          <w:rFonts w:hint="eastAsia" w:ascii="仿宋_GB2312" w:hAnsi="仿宋_GB2312" w:eastAsia="仿宋_GB2312" w:cs="仿宋_GB2312"/>
          <w:sz w:val="32"/>
          <w:szCs w:val="32"/>
        </w:rPr>
        <w:t>种植槽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lang w:val="en-US" w:eastAsia="zh-CN"/>
        </w:rPr>
        <w:t>覆土、</w:t>
      </w:r>
      <w:r>
        <w:rPr>
          <w:rFonts w:hint="eastAsia" w:ascii="仿宋_GB2312" w:hAnsi="仿宋_GB2312" w:eastAsia="仿宋_GB2312" w:cs="仿宋_GB2312"/>
          <w:sz w:val="32"/>
          <w:szCs w:val="32"/>
        </w:rPr>
        <w:t>给水和排水系统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color w:val="auto"/>
          <w:sz w:val="32"/>
          <w:szCs w:val="32"/>
          <w:u w:val="none"/>
          <w:lang w:val="en-US" w:eastAsia="zh-CN"/>
        </w:rPr>
        <w:t>），确保达到设计标准才可以交付，同时与购房业主在购房合同中约定不得改变空中花园用途。</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对按标准要求建设完成交付的空中花园项目，空中花园未经规划部门批准不得擅自封闭或改变用途，建设单位在与物业公司签订委托合同时要约定物业公司做好防止改造空中花园的监管责任。日常管理中，物业公司发现如有改造空中花园的购房业主应及时向住建、行政执法等部门反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四、</w:t>
      </w:r>
      <w:r>
        <w:rPr>
          <w:rFonts w:hint="eastAsia" w:ascii="黑体" w:hAnsi="黑体" w:eastAsia="黑体" w:cs="黑体"/>
          <w:b w:val="0"/>
          <w:bCs w:val="0"/>
          <w:sz w:val="32"/>
          <w:szCs w:val="32"/>
          <w:lang w:val="zh-CN"/>
        </w:rPr>
        <w:t>优化住宅户型比例要求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不再执行住宅用地出让和用</w:t>
      </w:r>
      <w:r>
        <w:rPr>
          <w:rFonts w:hint="eastAsia" w:ascii="仿宋_GB2312" w:hAnsi="仿宋_GB2312" w:eastAsia="仿宋_GB2312" w:cs="仿宋_GB2312"/>
          <w:sz w:val="32"/>
          <w:szCs w:val="32"/>
          <w:lang w:val="zh-CN" w:eastAsia="zh-CN"/>
        </w:rPr>
        <w:t>地</w:t>
      </w:r>
      <w:r>
        <w:rPr>
          <w:rFonts w:hint="eastAsia" w:ascii="仿宋_GB2312" w:hAnsi="仿宋_GB2312" w:eastAsia="仿宋_GB2312" w:cs="仿宋_GB2312"/>
          <w:sz w:val="32"/>
          <w:szCs w:val="32"/>
          <w:lang w:val="zh-CN"/>
        </w:rPr>
        <w:t>规划条件原有的关于房地产开发需符合套型建筑面积90平方米以下住房面积占比重必须达到开发建设总面积的70%以上</w:t>
      </w:r>
      <w:r>
        <w:rPr>
          <w:rFonts w:hint="eastAsia" w:ascii="仿宋_GB2312" w:hAnsi="仿宋_GB2312" w:eastAsia="仿宋_GB2312" w:cs="仿宋_GB2312"/>
          <w:sz w:val="32"/>
          <w:szCs w:val="32"/>
          <w:lang w:val="zh-CN" w:eastAsia="zh-CN"/>
        </w:rPr>
        <w:t>等相关户型比例</w:t>
      </w:r>
      <w:r>
        <w:rPr>
          <w:rFonts w:hint="eastAsia" w:ascii="仿宋_GB2312" w:hAnsi="仿宋_GB2312" w:eastAsia="仿宋_GB2312" w:cs="仿宋_GB2312"/>
          <w:sz w:val="32"/>
          <w:szCs w:val="32"/>
          <w:lang w:val="zh-CN"/>
        </w:rPr>
        <w:t>政策要求。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五、适用范围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适用于防城港市港口区、防城区的建设项目，东兴市、上思县参照执行。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六、相关名词解释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zh-CN" w:eastAsia="zh-CN"/>
        </w:rPr>
        <w:t>空中花园住宅</w:t>
      </w:r>
      <w:r>
        <w:rPr>
          <w:rFonts w:hint="eastAsia" w:ascii="仿宋_GB2312" w:hAnsi="仿宋_GB2312" w:eastAsia="仿宋_GB2312" w:cs="仿宋_GB2312"/>
          <w:sz w:val="32"/>
          <w:szCs w:val="32"/>
        </w:rPr>
        <w:t xml:space="preserve"> 又称“第四代住宅”，是一种新兴的建筑模式，将绿色生态理念注入城市建筑实践，通过平台立体绿化和建筑外墙垂直绿化等多种立体绿化方式，将空中花园庭院与现代住宅相结合，形成户户有花园的建筑形式。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zh-CN" w:eastAsia="zh-CN"/>
        </w:rPr>
        <w:t>户内空中花园</w:t>
      </w:r>
      <w:r>
        <w:rPr>
          <w:rFonts w:hint="eastAsia" w:ascii="仿宋_GB2312" w:hAnsi="仿宋_GB2312" w:eastAsia="仿宋_GB2312" w:cs="仿宋_GB2312"/>
          <w:sz w:val="32"/>
          <w:szCs w:val="32"/>
        </w:rPr>
        <w:t xml:space="preserve"> 设置于住宅建筑单个户型内的不小于两个自然层高的室外绿化活动空间。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sz w:val="32"/>
          <w:szCs w:val="32"/>
          <w:lang w:val="zh-CN" w:eastAsia="zh-CN"/>
        </w:rPr>
        <w:t>自然层</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kern w:val="0"/>
          <w:sz w:val="32"/>
          <w:szCs w:val="32"/>
        </w:rPr>
        <w:t>按楼地面结构分层的楼层</w:t>
      </w:r>
      <w:r>
        <w:rPr>
          <w:rFonts w:hint="eastAsia" w:ascii="仿宋_GB2312" w:hAnsi="仿宋_GB2312" w:eastAsia="仿宋_GB2312" w:cs="仿宋_GB2312"/>
          <w:kern w:val="0"/>
          <w:sz w:val="32"/>
          <w:szCs w:val="32"/>
          <w:lang w:val="en-US" w:eastAsia="zh-CN"/>
        </w:rPr>
        <w:t>(不包括地下室、夹层、阁楼等特殊结构的标准层)</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七、其他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本措施自印发之日起实施，试行时间暂定三年。期间上级相关部门有新要求的，按新要求执行；试行期满由市自然资源局依据试行情况，报请市人民政府研究明确后续管理要求。</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i w:val="0"/>
          <w:iCs w:val="0"/>
          <w:caps w:val="0"/>
          <w:color w:val="auto"/>
          <w:spacing w:val="0"/>
          <w:sz w:val="30"/>
          <w:szCs w:val="30"/>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p>
    <w:p>
      <w:pPr>
        <w:jc w:val="center"/>
        <w:rPr>
          <w:rFonts w:hint="eastAsia" w:ascii="仿宋_GB2312" w:hAnsi="仿宋_GB2312" w:eastAsia="仿宋_GB2312" w:cs="仿宋_GB2312"/>
          <w:color w:val="000000"/>
          <w:sz w:val="32"/>
          <w:szCs w:val="32"/>
          <w:u w:color="00000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25621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151CF"/>
    <w:multiLevelType w:val="singleLevel"/>
    <w:tmpl w:val="DD9151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D7"/>
    <w:rsid w:val="0002151A"/>
    <w:rsid w:val="00026363"/>
    <w:rsid w:val="00030654"/>
    <w:rsid w:val="000326B0"/>
    <w:rsid w:val="00040B57"/>
    <w:rsid w:val="00045CD6"/>
    <w:rsid w:val="000522CB"/>
    <w:rsid w:val="00053988"/>
    <w:rsid w:val="000545C2"/>
    <w:rsid w:val="00056F16"/>
    <w:rsid w:val="0006017E"/>
    <w:rsid w:val="00060776"/>
    <w:rsid w:val="000650E9"/>
    <w:rsid w:val="00077F7C"/>
    <w:rsid w:val="00080378"/>
    <w:rsid w:val="000844C2"/>
    <w:rsid w:val="0009305F"/>
    <w:rsid w:val="00096EC8"/>
    <w:rsid w:val="000B2955"/>
    <w:rsid w:val="000C287A"/>
    <w:rsid w:val="000C2FBA"/>
    <w:rsid w:val="000C5986"/>
    <w:rsid w:val="000E2597"/>
    <w:rsid w:val="000E435A"/>
    <w:rsid w:val="000E72B9"/>
    <w:rsid w:val="000F3FDE"/>
    <w:rsid w:val="000F7A20"/>
    <w:rsid w:val="00107A16"/>
    <w:rsid w:val="001141C6"/>
    <w:rsid w:val="00120496"/>
    <w:rsid w:val="0012780B"/>
    <w:rsid w:val="00131D4A"/>
    <w:rsid w:val="001379A7"/>
    <w:rsid w:val="00151B1B"/>
    <w:rsid w:val="00151F00"/>
    <w:rsid w:val="001577D1"/>
    <w:rsid w:val="001622C5"/>
    <w:rsid w:val="00163961"/>
    <w:rsid w:val="001657AF"/>
    <w:rsid w:val="00170FF3"/>
    <w:rsid w:val="00177069"/>
    <w:rsid w:val="00181C71"/>
    <w:rsid w:val="0018424B"/>
    <w:rsid w:val="00192F62"/>
    <w:rsid w:val="00193161"/>
    <w:rsid w:val="00193872"/>
    <w:rsid w:val="001A40EE"/>
    <w:rsid w:val="001B0FAC"/>
    <w:rsid w:val="001B3A22"/>
    <w:rsid w:val="001B7072"/>
    <w:rsid w:val="001C7477"/>
    <w:rsid w:val="001C7E06"/>
    <w:rsid w:val="001D0252"/>
    <w:rsid w:val="001D1894"/>
    <w:rsid w:val="001E0051"/>
    <w:rsid w:val="001E4359"/>
    <w:rsid w:val="001E74CD"/>
    <w:rsid w:val="001F56C4"/>
    <w:rsid w:val="001F7049"/>
    <w:rsid w:val="00204CAE"/>
    <w:rsid w:val="00211BE1"/>
    <w:rsid w:val="00214264"/>
    <w:rsid w:val="002178B8"/>
    <w:rsid w:val="0022660C"/>
    <w:rsid w:val="00226FF9"/>
    <w:rsid w:val="00227FEB"/>
    <w:rsid w:val="00233120"/>
    <w:rsid w:val="002400A6"/>
    <w:rsid w:val="00243197"/>
    <w:rsid w:val="00253BB2"/>
    <w:rsid w:val="00254BCB"/>
    <w:rsid w:val="00261B0C"/>
    <w:rsid w:val="002646F4"/>
    <w:rsid w:val="00264BEF"/>
    <w:rsid w:val="00264D59"/>
    <w:rsid w:val="00264FFB"/>
    <w:rsid w:val="002655F7"/>
    <w:rsid w:val="0027104F"/>
    <w:rsid w:val="00271C1E"/>
    <w:rsid w:val="00272F8F"/>
    <w:rsid w:val="00277A31"/>
    <w:rsid w:val="002818D1"/>
    <w:rsid w:val="00282CC2"/>
    <w:rsid w:val="0028488E"/>
    <w:rsid w:val="00285F65"/>
    <w:rsid w:val="002905B4"/>
    <w:rsid w:val="00296454"/>
    <w:rsid w:val="002A3324"/>
    <w:rsid w:val="002A76E8"/>
    <w:rsid w:val="002B4328"/>
    <w:rsid w:val="002B5969"/>
    <w:rsid w:val="002B758C"/>
    <w:rsid w:val="002C082E"/>
    <w:rsid w:val="002C0D9F"/>
    <w:rsid w:val="002C4AB1"/>
    <w:rsid w:val="002C5881"/>
    <w:rsid w:val="002D14F9"/>
    <w:rsid w:val="002D1F21"/>
    <w:rsid w:val="002D76C6"/>
    <w:rsid w:val="002E40D8"/>
    <w:rsid w:val="002E7B44"/>
    <w:rsid w:val="002F71FC"/>
    <w:rsid w:val="003021FE"/>
    <w:rsid w:val="0030499A"/>
    <w:rsid w:val="00305763"/>
    <w:rsid w:val="00306E7C"/>
    <w:rsid w:val="003077A1"/>
    <w:rsid w:val="003117E9"/>
    <w:rsid w:val="003240A6"/>
    <w:rsid w:val="0033244C"/>
    <w:rsid w:val="0034099A"/>
    <w:rsid w:val="0034495A"/>
    <w:rsid w:val="003532CE"/>
    <w:rsid w:val="00353C98"/>
    <w:rsid w:val="00353FA8"/>
    <w:rsid w:val="003552E2"/>
    <w:rsid w:val="00360A05"/>
    <w:rsid w:val="003623A6"/>
    <w:rsid w:val="0036495E"/>
    <w:rsid w:val="00374593"/>
    <w:rsid w:val="00375B04"/>
    <w:rsid w:val="00377E86"/>
    <w:rsid w:val="0038082C"/>
    <w:rsid w:val="00380871"/>
    <w:rsid w:val="0038360C"/>
    <w:rsid w:val="003923D1"/>
    <w:rsid w:val="00397DCC"/>
    <w:rsid w:val="003A03B2"/>
    <w:rsid w:val="003A1BB4"/>
    <w:rsid w:val="003A2900"/>
    <w:rsid w:val="003A2EA6"/>
    <w:rsid w:val="003B32AD"/>
    <w:rsid w:val="003C4CFF"/>
    <w:rsid w:val="003C69A9"/>
    <w:rsid w:val="003C772D"/>
    <w:rsid w:val="003D41F4"/>
    <w:rsid w:val="003D5587"/>
    <w:rsid w:val="003E0910"/>
    <w:rsid w:val="003E2673"/>
    <w:rsid w:val="003E6EC1"/>
    <w:rsid w:val="003F4CE6"/>
    <w:rsid w:val="0040053F"/>
    <w:rsid w:val="00400DDA"/>
    <w:rsid w:val="0040237C"/>
    <w:rsid w:val="00404743"/>
    <w:rsid w:val="0040747A"/>
    <w:rsid w:val="0041112A"/>
    <w:rsid w:val="00411617"/>
    <w:rsid w:val="0042291F"/>
    <w:rsid w:val="00424879"/>
    <w:rsid w:val="00443BC1"/>
    <w:rsid w:val="004477DC"/>
    <w:rsid w:val="00447B57"/>
    <w:rsid w:val="00457646"/>
    <w:rsid w:val="0046141C"/>
    <w:rsid w:val="00462B60"/>
    <w:rsid w:val="0047498E"/>
    <w:rsid w:val="00483460"/>
    <w:rsid w:val="00490386"/>
    <w:rsid w:val="004A75A8"/>
    <w:rsid w:val="004B28F6"/>
    <w:rsid w:val="004B48EC"/>
    <w:rsid w:val="004B5A31"/>
    <w:rsid w:val="004B5F3F"/>
    <w:rsid w:val="004B63D1"/>
    <w:rsid w:val="004B7277"/>
    <w:rsid w:val="004B79A9"/>
    <w:rsid w:val="004C01A8"/>
    <w:rsid w:val="004C362D"/>
    <w:rsid w:val="004C5B5A"/>
    <w:rsid w:val="004C6D97"/>
    <w:rsid w:val="004D1294"/>
    <w:rsid w:val="004D1CD9"/>
    <w:rsid w:val="004E279D"/>
    <w:rsid w:val="004F661B"/>
    <w:rsid w:val="004F7137"/>
    <w:rsid w:val="004F794B"/>
    <w:rsid w:val="004F7FB4"/>
    <w:rsid w:val="00504090"/>
    <w:rsid w:val="005043B7"/>
    <w:rsid w:val="00506D92"/>
    <w:rsid w:val="0051618F"/>
    <w:rsid w:val="00521AF6"/>
    <w:rsid w:val="005244B8"/>
    <w:rsid w:val="0052631F"/>
    <w:rsid w:val="005318E0"/>
    <w:rsid w:val="00536B29"/>
    <w:rsid w:val="005413BB"/>
    <w:rsid w:val="00563265"/>
    <w:rsid w:val="005635E5"/>
    <w:rsid w:val="005774AF"/>
    <w:rsid w:val="00577685"/>
    <w:rsid w:val="00580191"/>
    <w:rsid w:val="00586546"/>
    <w:rsid w:val="005A1F5B"/>
    <w:rsid w:val="005A5B9D"/>
    <w:rsid w:val="005B1D68"/>
    <w:rsid w:val="005B4137"/>
    <w:rsid w:val="005C45DE"/>
    <w:rsid w:val="005E365A"/>
    <w:rsid w:val="005F0B87"/>
    <w:rsid w:val="005F2D7A"/>
    <w:rsid w:val="00602FA8"/>
    <w:rsid w:val="00603151"/>
    <w:rsid w:val="00603984"/>
    <w:rsid w:val="00606E6C"/>
    <w:rsid w:val="006109FD"/>
    <w:rsid w:val="006201DC"/>
    <w:rsid w:val="00630AE4"/>
    <w:rsid w:val="00632A0C"/>
    <w:rsid w:val="00640F9B"/>
    <w:rsid w:val="00641023"/>
    <w:rsid w:val="00642625"/>
    <w:rsid w:val="00643200"/>
    <w:rsid w:val="00644DE1"/>
    <w:rsid w:val="006477E4"/>
    <w:rsid w:val="00666004"/>
    <w:rsid w:val="00671B6F"/>
    <w:rsid w:val="00673CCF"/>
    <w:rsid w:val="00680D88"/>
    <w:rsid w:val="00682DC1"/>
    <w:rsid w:val="006838D4"/>
    <w:rsid w:val="0068641E"/>
    <w:rsid w:val="00694803"/>
    <w:rsid w:val="00694F19"/>
    <w:rsid w:val="00696730"/>
    <w:rsid w:val="00696DE4"/>
    <w:rsid w:val="006A02C1"/>
    <w:rsid w:val="006A0D77"/>
    <w:rsid w:val="006B22CC"/>
    <w:rsid w:val="006B463A"/>
    <w:rsid w:val="006C3B60"/>
    <w:rsid w:val="006C58FE"/>
    <w:rsid w:val="006D3DDA"/>
    <w:rsid w:val="006D52CF"/>
    <w:rsid w:val="006E1DC1"/>
    <w:rsid w:val="007041EB"/>
    <w:rsid w:val="007105F4"/>
    <w:rsid w:val="00711EB4"/>
    <w:rsid w:val="00712479"/>
    <w:rsid w:val="00712DDD"/>
    <w:rsid w:val="00724516"/>
    <w:rsid w:val="00724549"/>
    <w:rsid w:val="00725956"/>
    <w:rsid w:val="0073260C"/>
    <w:rsid w:val="0073496E"/>
    <w:rsid w:val="00736085"/>
    <w:rsid w:val="007435F0"/>
    <w:rsid w:val="0075363C"/>
    <w:rsid w:val="007537E1"/>
    <w:rsid w:val="00753EFF"/>
    <w:rsid w:val="00763D34"/>
    <w:rsid w:val="007734FE"/>
    <w:rsid w:val="007765AD"/>
    <w:rsid w:val="00794932"/>
    <w:rsid w:val="00794F42"/>
    <w:rsid w:val="00796115"/>
    <w:rsid w:val="007A0D0B"/>
    <w:rsid w:val="007A22FA"/>
    <w:rsid w:val="007A315F"/>
    <w:rsid w:val="007A491F"/>
    <w:rsid w:val="007A53F6"/>
    <w:rsid w:val="007A5C56"/>
    <w:rsid w:val="007A70F4"/>
    <w:rsid w:val="007B6F44"/>
    <w:rsid w:val="007C30AB"/>
    <w:rsid w:val="007E6CCD"/>
    <w:rsid w:val="007E7D1B"/>
    <w:rsid w:val="007F1A19"/>
    <w:rsid w:val="007F2C20"/>
    <w:rsid w:val="007F6831"/>
    <w:rsid w:val="00805808"/>
    <w:rsid w:val="00816E07"/>
    <w:rsid w:val="00820161"/>
    <w:rsid w:val="00820F9D"/>
    <w:rsid w:val="00824610"/>
    <w:rsid w:val="0082574E"/>
    <w:rsid w:val="008273CF"/>
    <w:rsid w:val="00830D53"/>
    <w:rsid w:val="00831A57"/>
    <w:rsid w:val="00834E11"/>
    <w:rsid w:val="00836369"/>
    <w:rsid w:val="008401A5"/>
    <w:rsid w:val="0085126A"/>
    <w:rsid w:val="008574C7"/>
    <w:rsid w:val="00857B5E"/>
    <w:rsid w:val="00860AD5"/>
    <w:rsid w:val="008613D6"/>
    <w:rsid w:val="00864B8C"/>
    <w:rsid w:val="00865EF9"/>
    <w:rsid w:val="00866DD8"/>
    <w:rsid w:val="00867C98"/>
    <w:rsid w:val="00867CF9"/>
    <w:rsid w:val="00872113"/>
    <w:rsid w:val="00876946"/>
    <w:rsid w:val="0088023F"/>
    <w:rsid w:val="00880B1C"/>
    <w:rsid w:val="00882BAA"/>
    <w:rsid w:val="00883B25"/>
    <w:rsid w:val="008872E9"/>
    <w:rsid w:val="00890457"/>
    <w:rsid w:val="00897B06"/>
    <w:rsid w:val="008A0740"/>
    <w:rsid w:val="008A3E12"/>
    <w:rsid w:val="008A7CCF"/>
    <w:rsid w:val="008B7012"/>
    <w:rsid w:val="008C326D"/>
    <w:rsid w:val="008C382B"/>
    <w:rsid w:val="008D0ED1"/>
    <w:rsid w:val="008D40C7"/>
    <w:rsid w:val="008D4778"/>
    <w:rsid w:val="008E26CC"/>
    <w:rsid w:val="008E3E05"/>
    <w:rsid w:val="008E4EC3"/>
    <w:rsid w:val="008E61E7"/>
    <w:rsid w:val="008E66C6"/>
    <w:rsid w:val="008F0502"/>
    <w:rsid w:val="008F6E05"/>
    <w:rsid w:val="00905C6E"/>
    <w:rsid w:val="00913097"/>
    <w:rsid w:val="00914EE6"/>
    <w:rsid w:val="00922A7E"/>
    <w:rsid w:val="009233F1"/>
    <w:rsid w:val="00926C0F"/>
    <w:rsid w:val="00927046"/>
    <w:rsid w:val="00932473"/>
    <w:rsid w:val="00934B6F"/>
    <w:rsid w:val="009405A5"/>
    <w:rsid w:val="00945A36"/>
    <w:rsid w:val="00951E68"/>
    <w:rsid w:val="0095559A"/>
    <w:rsid w:val="009560A1"/>
    <w:rsid w:val="00956833"/>
    <w:rsid w:val="0096070F"/>
    <w:rsid w:val="00961DDF"/>
    <w:rsid w:val="009641B8"/>
    <w:rsid w:val="00972428"/>
    <w:rsid w:val="009731D8"/>
    <w:rsid w:val="0097331E"/>
    <w:rsid w:val="00973DD6"/>
    <w:rsid w:val="00981A36"/>
    <w:rsid w:val="009843A3"/>
    <w:rsid w:val="00984C40"/>
    <w:rsid w:val="00985321"/>
    <w:rsid w:val="00990BD7"/>
    <w:rsid w:val="0099390B"/>
    <w:rsid w:val="00993AC6"/>
    <w:rsid w:val="00995542"/>
    <w:rsid w:val="009A14AC"/>
    <w:rsid w:val="009A1E5A"/>
    <w:rsid w:val="009B2297"/>
    <w:rsid w:val="009C640E"/>
    <w:rsid w:val="009D3E65"/>
    <w:rsid w:val="009E084F"/>
    <w:rsid w:val="009E21E3"/>
    <w:rsid w:val="009E46B3"/>
    <w:rsid w:val="009F3701"/>
    <w:rsid w:val="009F5219"/>
    <w:rsid w:val="009F7302"/>
    <w:rsid w:val="00A042EA"/>
    <w:rsid w:val="00A0655A"/>
    <w:rsid w:val="00A16DB6"/>
    <w:rsid w:val="00A2142E"/>
    <w:rsid w:val="00A23F6F"/>
    <w:rsid w:val="00A27CDA"/>
    <w:rsid w:val="00A31E66"/>
    <w:rsid w:val="00A3319D"/>
    <w:rsid w:val="00A33492"/>
    <w:rsid w:val="00A33E11"/>
    <w:rsid w:val="00A36780"/>
    <w:rsid w:val="00A556E9"/>
    <w:rsid w:val="00A61460"/>
    <w:rsid w:val="00A64C23"/>
    <w:rsid w:val="00A83FD7"/>
    <w:rsid w:val="00A8560E"/>
    <w:rsid w:val="00A86761"/>
    <w:rsid w:val="00A86CAD"/>
    <w:rsid w:val="00A94E9C"/>
    <w:rsid w:val="00A96792"/>
    <w:rsid w:val="00AB054F"/>
    <w:rsid w:val="00AB299B"/>
    <w:rsid w:val="00AB4131"/>
    <w:rsid w:val="00AC1997"/>
    <w:rsid w:val="00AC71F3"/>
    <w:rsid w:val="00AC73F2"/>
    <w:rsid w:val="00AC795B"/>
    <w:rsid w:val="00AC7D30"/>
    <w:rsid w:val="00AD0F6E"/>
    <w:rsid w:val="00AD7209"/>
    <w:rsid w:val="00AE5E40"/>
    <w:rsid w:val="00AF0FCC"/>
    <w:rsid w:val="00AF1A06"/>
    <w:rsid w:val="00AF2E0E"/>
    <w:rsid w:val="00AF7876"/>
    <w:rsid w:val="00B03A84"/>
    <w:rsid w:val="00B175EF"/>
    <w:rsid w:val="00B21A88"/>
    <w:rsid w:val="00B40ECF"/>
    <w:rsid w:val="00B438FB"/>
    <w:rsid w:val="00B60471"/>
    <w:rsid w:val="00B60AA3"/>
    <w:rsid w:val="00B623BE"/>
    <w:rsid w:val="00B6682A"/>
    <w:rsid w:val="00B712BF"/>
    <w:rsid w:val="00B71ACF"/>
    <w:rsid w:val="00B724B5"/>
    <w:rsid w:val="00B81D66"/>
    <w:rsid w:val="00B85F7E"/>
    <w:rsid w:val="00B9086E"/>
    <w:rsid w:val="00B9181B"/>
    <w:rsid w:val="00B93185"/>
    <w:rsid w:val="00B975F2"/>
    <w:rsid w:val="00B97803"/>
    <w:rsid w:val="00B97CAD"/>
    <w:rsid w:val="00BA442A"/>
    <w:rsid w:val="00BB0AE5"/>
    <w:rsid w:val="00BB7AF0"/>
    <w:rsid w:val="00BC7C77"/>
    <w:rsid w:val="00BD018E"/>
    <w:rsid w:val="00BD11B1"/>
    <w:rsid w:val="00BD54A5"/>
    <w:rsid w:val="00BD5A7C"/>
    <w:rsid w:val="00BE0697"/>
    <w:rsid w:val="00BE1822"/>
    <w:rsid w:val="00BE260B"/>
    <w:rsid w:val="00BE292F"/>
    <w:rsid w:val="00BF055C"/>
    <w:rsid w:val="00BF327F"/>
    <w:rsid w:val="00BF372A"/>
    <w:rsid w:val="00C0167B"/>
    <w:rsid w:val="00C021E8"/>
    <w:rsid w:val="00C03C76"/>
    <w:rsid w:val="00C03E66"/>
    <w:rsid w:val="00C0740A"/>
    <w:rsid w:val="00C12FC4"/>
    <w:rsid w:val="00C14B80"/>
    <w:rsid w:val="00C17C20"/>
    <w:rsid w:val="00C23A4A"/>
    <w:rsid w:val="00C274DB"/>
    <w:rsid w:val="00C31462"/>
    <w:rsid w:val="00C360AA"/>
    <w:rsid w:val="00C40B13"/>
    <w:rsid w:val="00C4624F"/>
    <w:rsid w:val="00C4710B"/>
    <w:rsid w:val="00C47E3B"/>
    <w:rsid w:val="00C57C63"/>
    <w:rsid w:val="00C63494"/>
    <w:rsid w:val="00C736C7"/>
    <w:rsid w:val="00C76674"/>
    <w:rsid w:val="00C8254B"/>
    <w:rsid w:val="00C82EC1"/>
    <w:rsid w:val="00C8554F"/>
    <w:rsid w:val="00C913D4"/>
    <w:rsid w:val="00C94ED7"/>
    <w:rsid w:val="00CA5757"/>
    <w:rsid w:val="00CB1651"/>
    <w:rsid w:val="00CB66B7"/>
    <w:rsid w:val="00CB73C4"/>
    <w:rsid w:val="00CE067D"/>
    <w:rsid w:val="00CE3D64"/>
    <w:rsid w:val="00CE5529"/>
    <w:rsid w:val="00CF230C"/>
    <w:rsid w:val="00CF3C62"/>
    <w:rsid w:val="00CF79A5"/>
    <w:rsid w:val="00D10E27"/>
    <w:rsid w:val="00D13CDC"/>
    <w:rsid w:val="00D21557"/>
    <w:rsid w:val="00D220A8"/>
    <w:rsid w:val="00D25283"/>
    <w:rsid w:val="00D37F94"/>
    <w:rsid w:val="00D43CC6"/>
    <w:rsid w:val="00D47937"/>
    <w:rsid w:val="00D50B67"/>
    <w:rsid w:val="00D546A7"/>
    <w:rsid w:val="00D56C2F"/>
    <w:rsid w:val="00D56DD8"/>
    <w:rsid w:val="00D57F7F"/>
    <w:rsid w:val="00D63F6A"/>
    <w:rsid w:val="00D71CCF"/>
    <w:rsid w:val="00D758F4"/>
    <w:rsid w:val="00D8697F"/>
    <w:rsid w:val="00D97321"/>
    <w:rsid w:val="00DA55A9"/>
    <w:rsid w:val="00DC4A8E"/>
    <w:rsid w:val="00DE1A28"/>
    <w:rsid w:val="00DE44E8"/>
    <w:rsid w:val="00DF1954"/>
    <w:rsid w:val="00DF4A15"/>
    <w:rsid w:val="00DF5012"/>
    <w:rsid w:val="00DF5A54"/>
    <w:rsid w:val="00DF5D57"/>
    <w:rsid w:val="00E01396"/>
    <w:rsid w:val="00E03FBD"/>
    <w:rsid w:val="00E06D4D"/>
    <w:rsid w:val="00E06DD2"/>
    <w:rsid w:val="00E111A6"/>
    <w:rsid w:val="00E16E53"/>
    <w:rsid w:val="00E17929"/>
    <w:rsid w:val="00E20F9D"/>
    <w:rsid w:val="00E242F9"/>
    <w:rsid w:val="00E30439"/>
    <w:rsid w:val="00E31080"/>
    <w:rsid w:val="00E322F8"/>
    <w:rsid w:val="00E37DAD"/>
    <w:rsid w:val="00E41414"/>
    <w:rsid w:val="00E54B89"/>
    <w:rsid w:val="00E61329"/>
    <w:rsid w:val="00E62453"/>
    <w:rsid w:val="00E67921"/>
    <w:rsid w:val="00E7601E"/>
    <w:rsid w:val="00E84853"/>
    <w:rsid w:val="00E84874"/>
    <w:rsid w:val="00E85A31"/>
    <w:rsid w:val="00EA37A8"/>
    <w:rsid w:val="00EA3F35"/>
    <w:rsid w:val="00EB2117"/>
    <w:rsid w:val="00EB25AF"/>
    <w:rsid w:val="00EB6480"/>
    <w:rsid w:val="00EC06D0"/>
    <w:rsid w:val="00EC3D95"/>
    <w:rsid w:val="00ED17D0"/>
    <w:rsid w:val="00ED238D"/>
    <w:rsid w:val="00ED684B"/>
    <w:rsid w:val="00EE270F"/>
    <w:rsid w:val="00EF1382"/>
    <w:rsid w:val="00EF35D1"/>
    <w:rsid w:val="00F003C1"/>
    <w:rsid w:val="00F046CE"/>
    <w:rsid w:val="00F13A84"/>
    <w:rsid w:val="00F23D3C"/>
    <w:rsid w:val="00F26156"/>
    <w:rsid w:val="00F35DC8"/>
    <w:rsid w:val="00F35F62"/>
    <w:rsid w:val="00F37C4E"/>
    <w:rsid w:val="00F41C89"/>
    <w:rsid w:val="00F42062"/>
    <w:rsid w:val="00F51A81"/>
    <w:rsid w:val="00F536A1"/>
    <w:rsid w:val="00F61B6D"/>
    <w:rsid w:val="00F7164C"/>
    <w:rsid w:val="00F77526"/>
    <w:rsid w:val="00F83530"/>
    <w:rsid w:val="00F84C5A"/>
    <w:rsid w:val="00F92F9C"/>
    <w:rsid w:val="00FA0A60"/>
    <w:rsid w:val="00FA536D"/>
    <w:rsid w:val="00FA6D83"/>
    <w:rsid w:val="00FB0352"/>
    <w:rsid w:val="00FB09A5"/>
    <w:rsid w:val="00FB3B09"/>
    <w:rsid w:val="00FB54C4"/>
    <w:rsid w:val="00FB6183"/>
    <w:rsid w:val="00FB685B"/>
    <w:rsid w:val="00FC6CE4"/>
    <w:rsid w:val="00FD0D7B"/>
    <w:rsid w:val="00FD5E6E"/>
    <w:rsid w:val="00FE5EB8"/>
    <w:rsid w:val="00FE7401"/>
    <w:rsid w:val="00FF09F7"/>
    <w:rsid w:val="00FF1F23"/>
    <w:rsid w:val="00FF233F"/>
    <w:rsid w:val="02750329"/>
    <w:rsid w:val="028E00EA"/>
    <w:rsid w:val="02F3787E"/>
    <w:rsid w:val="02FF1990"/>
    <w:rsid w:val="036839EA"/>
    <w:rsid w:val="049727D9"/>
    <w:rsid w:val="04B62840"/>
    <w:rsid w:val="04E5624F"/>
    <w:rsid w:val="04E672BC"/>
    <w:rsid w:val="05297532"/>
    <w:rsid w:val="0708176C"/>
    <w:rsid w:val="099F7A3A"/>
    <w:rsid w:val="0D533015"/>
    <w:rsid w:val="0E1C5AFD"/>
    <w:rsid w:val="0EE83181"/>
    <w:rsid w:val="0EF97BEC"/>
    <w:rsid w:val="101428EA"/>
    <w:rsid w:val="11606709"/>
    <w:rsid w:val="12661A3D"/>
    <w:rsid w:val="12B5207C"/>
    <w:rsid w:val="138F3860"/>
    <w:rsid w:val="15E6505C"/>
    <w:rsid w:val="163836F0"/>
    <w:rsid w:val="17AC6144"/>
    <w:rsid w:val="17B374D2"/>
    <w:rsid w:val="18167A61"/>
    <w:rsid w:val="181810E3"/>
    <w:rsid w:val="189A2440"/>
    <w:rsid w:val="191E4E1F"/>
    <w:rsid w:val="19A277FE"/>
    <w:rsid w:val="1B7C407F"/>
    <w:rsid w:val="1B813443"/>
    <w:rsid w:val="1B851185"/>
    <w:rsid w:val="1C896A53"/>
    <w:rsid w:val="1D6F1FB2"/>
    <w:rsid w:val="1D9E02DC"/>
    <w:rsid w:val="1EC21E70"/>
    <w:rsid w:val="1F0979D8"/>
    <w:rsid w:val="1F1A3993"/>
    <w:rsid w:val="1FB32AC9"/>
    <w:rsid w:val="21E32762"/>
    <w:rsid w:val="2237485C"/>
    <w:rsid w:val="238C2133"/>
    <w:rsid w:val="24170DE9"/>
    <w:rsid w:val="2480698E"/>
    <w:rsid w:val="25BA5ED0"/>
    <w:rsid w:val="25F969F8"/>
    <w:rsid w:val="2A2102CB"/>
    <w:rsid w:val="2A387167"/>
    <w:rsid w:val="2A9248F6"/>
    <w:rsid w:val="2A9B29F5"/>
    <w:rsid w:val="2AC1560A"/>
    <w:rsid w:val="2AD27817"/>
    <w:rsid w:val="2D180355"/>
    <w:rsid w:val="2D4D13D7"/>
    <w:rsid w:val="2E0C68B6"/>
    <w:rsid w:val="2EB57234"/>
    <w:rsid w:val="2F725902"/>
    <w:rsid w:val="30264F9C"/>
    <w:rsid w:val="314B20D2"/>
    <w:rsid w:val="31627F6E"/>
    <w:rsid w:val="31994BEB"/>
    <w:rsid w:val="32A970B0"/>
    <w:rsid w:val="33010C9A"/>
    <w:rsid w:val="33BF462B"/>
    <w:rsid w:val="33D26ADA"/>
    <w:rsid w:val="344A041F"/>
    <w:rsid w:val="34945B3E"/>
    <w:rsid w:val="3608233F"/>
    <w:rsid w:val="36AF6B1F"/>
    <w:rsid w:val="37074CED"/>
    <w:rsid w:val="37117919"/>
    <w:rsid w:val="37661A13"/>
    <w:rsid w:val="382434CF"/>
    <w:rsid w:val="38651CCB"/>
    <w:rsid w:val="3A2D041D"/>
    <w:rsid w:val="3A396F6B"/>
    <w:rsid w:val="3AD62A0C"/>
    <w:rsid w:val="3B7C5C60"/>
    <w:rsid w:val="3D3D6D72"/>
    <w:rsid w:val="3D9D5A63"/>
    <w:rsid w:val="3F52004B"/>
    <w:rsid w:val="3FF767D8"/>
    <w:rsid w:val="453C0257"/>
    <w:rsid w:val="48E6727A"/>
    <w:rsid w:val="49740777"/>
    <w:rsid w:val="49A5461D"/>
    <w:rsid w:val="49B760FE"/>
    <w:rsid w:val="4AD66A58"/>
    <w:rsid w:val="4BFA1AFC"/>
    <w:rsid w:val="4C61041D"/>
    <w:rsid w:val="4D1F0243"/>
    <w:rsid w:val="4FC32E84"/>
    <w:rsid w:val="4FE15C83"/>
    <w:rsid w:val="505E1082"/>
    <w:rsid w:val="533B56AA"/>
    <w:rsid w:val="53AF7506"/>
    <w:rsid w:val="54040192"/>
    <w:rsid w:val="546D5D37"/>
    <w:rsid w:val="54C93FC5"/>
    <w:rsid w:val="54E46B90"/>
    <w:rsid w:val="54F93FC1"/>
    <w:rsid w:val="552A6708"/>
    <w:rsid w:val="552D3719"/>
    <w:rsid w:val="5563538C"/>
    <w:rsid w:val="55AF412E"/>
    <w:rsid w:val="55B44D4A"/>
    <w:rsid w:val="55E62245"/>
    <w:rsid w:val="56EC6382"/>
    <w:rsid w:val="57256D9D"/>
    <w:rsid w:val="57E94F82"/>
    <w:rsid w:val="586B1733"/>
    <w:rsid w:val="594321B5"/>
    <w:rsid w:val="5A132EDD"/>
    <w:rsid w:val="5A737E20"/>
    <w:rsid w:val="5B172EA1"/>
    <w:rsid w:val="5B280C0A"/>
    <w:rsid w:val="5C540A5A"/>
    <w:rsid w:val="5C86208C"/>
    <w:rsid w:val="5D0D455B"/>
    <w:rsid w:val="5DD62B9F"/>
    <w:rsid w:val="5FB70FE6"/>
    <w:rsid w:val="60194FC5"/>
    <w:rsid w:val="601D2D07"/>
    <w:rsid w:val="60363DC9"/>
    <w:rsid w:val="609D79A4"/>
    <w:rsid w:val="60F22635"/>
    <w:rsid w:val="61023CAB"/>
    <w:rsid w:val="625A6291"/>
    <w:rsid w:val="63676048"/>
    <w:rsid w:val="63C32AA3"/>
    <w:rsid w:val="644A1063"/>
    <w:rsid w:val="64906B0D"/>
    <w:rsid w:val="64AF5EF8"/>
    <w:rsid w:val="64F658D5"/>
    <w:rsid w:val="65241498"/>
    <w:rsid w:val="65657A7B"/>
    <w:rsid w:val="65B732B6"/>
    <w:rsid w:val="6679056C"/>
    <w:rsid w:val="68055D1A"/>
    <w:rsid w:val="692E2B34"/>
    <w:rsid w:val="6BBB5183"/>
    <w:rsid w:val="6C2F4982"/>
    <w:rsid w:val="6C6121CE"/>
    <w:rsid w:val="6CF070AE"/>
    <w:rsid w:val="6D024810"/>
    <w:rsid w:val="6D033285"/>
    <w:rsid w:val="6D25144D"/>
    <w:rsid w:val="6DCA541B"/>
    <w:rsid w:val="6F0E4B3B"/>
    <w:rsid w:val="6F9B51AA"/>
    <w:rsid w:val="6FC34F4E"/>
    <w:rsid w:val="704B2070"/>
    <w:rsid w:val="71213CDA"/>
    <w:rsid w:val="71C368BC"/>
    <w:rsid w:val="71C50B09"/>
    <w:rsid w:val="721F290F"/>
    <w:rsid w:val="722D1C75"/>
    <w:rsid w:val="736E6F7E"/>
    <w:rsid w:val="743106D8"/>
    <w:rsid w:val="75135FC0"/>
    <w:rsid w:val="75EA2057"/>
    <w:rsid w:val="784A620C"/>
    <w:rsid w:val="78A27DF6"/>
    <w:rsid w:val="78B60C55"/>
    <w:rsid w:val="7A2F605F"/>
    <w:rsid w:val="7BA75723"/>
    <w:rsid w:val="7C5F7DAC"/>
    <w:rsid w:val="7C8C01AA"/>
    <w:rsid w:val="7D32101D"/>
    <w:rsid w:val="7E21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2958</Words>
  <Characters>3033</Characters>
  <Lines>11</Lines>
  <Paragraphs>3</Paragraphs>
  <TotalTime>0</TotalTime>
  <ScaleCrop>false</ScaleCrop>
  <LinksUpToDate>false</LinksUpToDate>
  <CharactersWithSpaces>3088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2021-06-22T09:02:00Z</dcterms:created>
  <dc:creator>何定东</dc:creator>
  <cp:lastModifiedBy>Administrator</cp:lastModifiedBy>
  <cp:lastPrinted>2024-12-17T02:28:00Z</cp:lastPrinted>
  <dcterms:modified xsi:type="dcterms:W3CDTF">2025-01-15T09:00:02Z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62236AC30A5548689DC85243269DD188</vt:lpwstr>
  </property>
</Properties>
</file>